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29B5" w14:textId="141ED9E8" w:rsidR="00BE02D9" w:rsidRPr="00036055" w:rsidRDefault="00BE02D9">
      <w:pPr>
        <w:jc w:val="center"/>
        <w:rPr>
          <w:rFonts w:ascii="Times New Roman" w:hAnsi="Times New Roman" w:cs="Times New Roman"/>
        </w:rPr>
      </w:pPr>
      <w:r w:rsidRPr="0003605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E225353" wp14:editId="7E9A457C">
                <wp:simplePos x="0" y="0"/>
                <wp:positionH relativeFrom="column">
                  <wp:posOffset>6553200</wp:posOffset>
                </wp:positionH>
                <wp:positionV relativeFrom="paragraph">
                  <wp:posOffset>-114300</wp:posOffset>
                </wp:positionV>
                <wp:extent cx="762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9280FF" w14:textId="5DA11E1C" w:rsidR="003C7DB7" w:rsidRPr="008757B2" w:rsidRDefault="003C7DB7" w:rsidP="00BE02D9">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516pt;margin-top:-8.95pt;width:60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4QncsCAAAN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" filled="f" stroked="f">
                <v:textbox>
                  <w:txbxContent>
                    <w:p w14:paraId="3C9280FF" w14:textId="5DA11E1C" w:rsidR="003C7DB7" w:rsidRPr="008757B2" w:rsidRDefault="003C7DB7" w:rsidP="00BE02D9">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4</w:t>
                      </w:r>
                    </w:p>
                  </w:txbxContent>
                </v:textbox>
                <w10:wrap type="square"/>
              </v:shape>
            </w:pict>
          </mc:Fallback>
        </mc:AlternateContent>
      </w:r>
      <w:r w:rsidRPr="0003605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5E2AE23" wp14:editId="4B16A878">
                <wp:simplePos x="0" y="0"/>
                <wp:positionH relativeFrom="column">
                  <wp:posOffset>381000</wp:posOffset>
                </wp:positionH>
                <wp:positionV relativeFrom="paragraph">
                  <wp:posOffset>-114300</wp:posOffset>
                </wp:positionV>
                <wp:extent cx="6172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246E7B" w14:textId="77777777" w:rsidR="003C7DB7" w:rsidRPr="008757B2" w:rsidRDefault="003C7DB7" w:rsidP="00BE02D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Critical Review Form</w:t>
                            </w:r>
                          </w:p>
                          <w:p w14:paraId="22AF3C0D" w14:textId="77777777" w:rsidR="003C7DB7" w:rsidRDefault="003C7DB7" w:rsidP="00BE02D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 xml:space="preserve">  Therapy</w:t>
                            </w:r>
                          </w:p>
                          <w:p w14:paraId="379F909F" w14:textId="77777777" w:rsidR="003C7DB7" w:rsidRPr="00BE02D9" w:rsidRDefault="003C7DB7" w:rsidP="00BE02D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7F7BEBB0" w14:textId="2AE2740F" w:rsidR="003C7DB7" w:rsidRPr="001172C4" w:rsidRDefault="0054236F" w:rsidP="00BE02D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5" w:history="1">
                              <w:proofErr w:type="spellStart"/>
                              <w:r w:rsidR="003C7DB7" w:rsidRPr="00BE02D9">
                                <w:rPr>
                                  <w:rFonts w:ascii="Times New Roman" w:hAnsi="Times New Roman" w:cs="Times New Roman"/>
                                  <w:color w:val="000087"/>
                                  <w:sz w:val="28"/>
                                  <w:szCs w:val="28"/>
                                  <w:u w:val="single" w:color="000087"/>
                                </w:rPr>
                                <w:t>Kattan</w:t>
                              </w:r>
                              <w:proofErr w:type="spellEnd"/>
                              <w:r w:rsidR="003C7DB7" w:rsidRPr="00BE02D9">
                                <w:rPr>
                                  <w:rFonts w:ascii="Times New Roman" w:hAnsi="Times New Roman" w:cs="Times New Roman"/>
                                  <w:color w:val="000087"/>
                                  <w:sz w:val="28"/>
                                  <w:szCs w:val="28"/>
                                  <w:u w:val="single" w:color="000087"/>
                                </w:rPr>
                                <w:t xml:space="preserve"> E, Hernández G, Ospina-</w:t>
                              </w:r>
                              <w:proofErr w:type="spellStart"/>
                              <w:r w:rsidR="003C7DB7" w:rsidRPr="00BE02D9">
                                <w:rPr>
                                  <w:rFonts w:ascii="Times New Roman" w:hAnsi="Times New Roman" w:cs="Times New Roman"/>
                                  <w:color w:val="000087"/>
                                  <w:sz w:val="28"/>
                                  <w:szCs w:val="28"/>
                                  <w:u w:val="single" w:color="000087"/>
                                </w:rPr>
                                <w:t>Tascón</w:t>
                              </w:r>
                              <w:proofErr w:type="spellEnd"/>
                              <w:r w:rsidR="003C7DB7" w:rsidRPr="00BE02D9">
                                <w:rPr>
                                  <w:rFonts w:ascii="Times New Roman" w:hAnsi="Times New Roman" w:cs="Times New Roman"/>
                                  <w:color w:val="000087"/>
                                  <w:sz w:val="28"/>
                                  <w:szCs w:val="28"/>
                                  <w:u w:val="single" w:color="000087"/>
                                </w:rPr>
                                <w:t xml:space="preserve"> G, et al; ANDROMEDA-SHOCK Study Investigators and the Latin America Intensive Care Network (LIVEN). A lactate-targeted resuscitation strategy may be associated with higher mortality in patients with septic shock and normal capillary refill time: a post hoc analysis of the ANDROMEDA-SHOCK study. Ann Intensive Care. 2020 Aug 26;10(1):114.</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left:0;text-align:left;margin-left:30pt;margin-top:-8.95pt;width:48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" filled="f" stroked="f">
                <v:textbox>
                  <w:txbxContent>
                    <w:p w14:paraId="3A246E7B" w14:textId="77777777" w:rsidR="003C7DB7" w:rsidRPr="008757B2" w:rsidRDefault="003C7DB7" w:rsidP="00BE02D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Critical Review Form</w:t>
                      </w:r>
                    </w:p>
                    <w:p w14:paraId="22AF3C0D" w14:textId="77777777" w:rsidR="003C7DB7" w:rsidRDefault="003C7DB7" w:rsidP="00BE02D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 xml:space="preserve">  Therapy</w:t>
                      </w:r>
                    </w:p>
                    <w:p w14:paraId="379F909F" w14:textId="77777777" w:rsidR="003C7DB7" w:rsidRPr="00BE02D9" w:rsidRDefault="003C7DB7" w:rsidP="00BE02D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7F7BEBB0" w14:textId="2AE2740F" w:rsidR="003C7DB7" w:rsidRPr="001172C4" w:rsidRDefault="003C7DB7" w:rsidP="00BE02D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7" w:history="1">
                        <w:proofErr w:type="spellStart"/>
                        <w:r w:rsidRPr="00BE02D9">
                          <w:rPr>
                            <w:rFonts w:ascii="Times New Roman" w:hAnsi="Times New Roman" w:cs="Times New Roman"/>
                            <w:color w:val="000087"/>
                            <w:sz w:val="28"/>
                            <w:szCs w:val="28"/>
                            <w:u w:val="single" w:color="000087"/>
                          </w:rPr>
                          <w:t>Kattan</w:t>
                        </w:r>
                        <w:proofErr w:type="spellEnd"/>
                        <w:r w:rsidRPr="00BE02D9">
                          <w:rPr>
                            <w:rFonts w:ascii="Times New Roman" w:hAnsi="Times New Roman" w:cs="Times New Roman"/>
                            <w:color w:val="000087"/>
                            <w:sz w:val="28"/>
                            <w:szCs w:val="28"/>
                            <w:u w:val="single" w:color="000087"/>
                          </w:rPr>
                          <w:t xml:space="preserve"> E, Hernández G, </w:t>
                        </w:r>
                        <w:proofErr w:type="spellStart"/>
                        <w:r w:rsidRPr="00BE02D9">
                          <w:rPr>
                            <w:rFonts w:ascii="Times New Roman" w:hAnsi="Times New Roman" w:cs="Times New Roman"/>
                            <w:color w:val="000087"/>
                            <w:sz w:val="28"/>
                            <w:szCs w:val="28"/>
                            <w:u w:val="single" w:color="000087"/>
                          </w:rPr>
                          <w:t>Ospina-Tascón</w:t>
                        </w:r>
                        <w:proofErr w:type="spellEnd"/>
                        <w:r w:rsidRPr="00BE02D9">
                          <w:rPr>
                            <w:rFonts w:ascii="Times New Roman" w:hAnsi="Times New Roman" w:cs="Times New Roman"/>
                            <w:color w:val="000087"/>
                            <w:sz w:val="28"/>
                            <w:szCs w:val="28"/>
                            <w:u w:val="single" w:color="000087"/>
                          </w:rPr>
                          <w:t xml:space="preserve"> G, et al; ANDROMEDA-SHOCK Study Investigators and the Latin America Intensive Care Network (LIVEN). A lactate-targeted resuscitation strategy may be associated with higher mortality in patients with septic shock and normal capillary refill time: a post hoc analysis of the ANDROMEDA-SHOCK study. </w:t>
                        </w:r>
                        <w:proofErr w:type="gramStart"/>
                        <w:r w:rsidRPr="00BE02D9">
                          <w:rPr>
                            <w:rFonts w:ascii="Times New Roman" w:hAnsi="Times New Roman" w:cs="Times New Roman"/>
                            <w:color w:val="000087"/>
                            <w:sz w:val="28"/>
                            <w:szCs w:val="28"/>
                            <w:u w:val="single" w:color="000087"/>
                          </w:rPr>
                          <w:t>Ann Intensive Care.</w:t>
                        </w:r>
                        <w:proofErr w:type="gramEnd"/>
                        <w:r w:rsidRPr="00BE02D9">
                          <w:rPr>
                            <w:rFonts w:ascii="Times New Roman" w:hAnsi="Times New Roman" w:cs="Times New Roman"/>
                            <w:color w:val="000087"/>
                            <w:sz w:val="28"/>
                            <w:szCs w:val="28"/>
                            <w:u w:val="single" w:color="000087"/>
                          </w:rPr>
                          <w:t xml:space="preserve"> 2020 Aug 26</w:t>
                        </w:r>
                        <w:proofErr w:type="gramStart"/>
                        <w:r w:rsidRPr="00BE02D9">
                          <w:rPr>
                            <w:rFonts w:ascii="Times New Roman" w:hAnsi="Times New Roman" w:cs="Times New Roman"/>
                            <w:color w:val="000087"/>
                            <w:sz w:val="28"/>
                            <w:szCs w:val="28"/>
                            <w:u w:val="single" w:color="000087"/>
                          </w:rPr>
                          <w:t>;10</w:t>
                        </w:r>
                        <w:proofErr w:type="gramEnd"/>
                        <w:r w:rsidRPr="00BE02D9">
                          <w:rPr>
                            <w:rFonts w:ascii="Times New Roman" w:hAnsi="Times New Roman" w:cs="Times New Roman"/>
                            <w:color w:val="000087"/>
                            <w:sz w:val="28"/>
                            <w:szCs w:val="28"/>
                            <w:u w:val="single" w:color="000087"/>
                          </w:rPr>
                          <w:t>(1):114.</w:t>
                        </w:r>
                      </w:hyperlink>
                    </w:p>
                  </w:txbxContent>
                </v:textbox>
                <w10:wrap type="square"/>
              </v:shape>
            </w:pict>
          </mc:Fallback>
        </mc:AlternateContent>
      </w:r>
    </w:p>
    <w:p w14:paraId="7D1CEE06" w14:textId="77777777" w:rsidR="00BE02D9" w:rsidRPr="00036055" w:rsidRDefault="00BE02D9">
      <w:pPr>
        <w:jc w:val="center"/>
        <w:rPr>
          <w:rFonts w:ascii="Times New Roman" w:hAnsi="Times New Roman" w:cs="Times New Roman"/>
        </w:rPr>
      </w:pPr>
    </w:p>
    <w:p w14:paraId="59E46453" w14:textId="77777777" w:rsidR="00BE02D9" w:rsidRPr="00036055" w:rsidRDefault="00BE02D9">
      <w:pPr>
        <w:jc w:val="center"/>
        <w:rPr>
          <w:rFonts w:ascii="Times New Roman" w:hAnsi="Times New Roman" w:cs="Times New Roman"/>
        </w:rPr>
      </w:pPr>
    </w:p>
    <w:p w14:paraId="29E99FA4" w14:textId="77777777" w:rsidR="00BE02D9" w:rsidRPr="00036055" w:rsidRDefault="00BE02D9">
      <w:pPr>
        <w:jc w:val="center"/>
        <w:rPr>
          <w:rFonts w:ascii="Times New Roman" w:hAnsi="Times New Roman" w:cs="Times New Roman"/>
        </w:rPr>
      </w:pPr>
    </w:p>
    <w:p w14:paraId="029E281B" w14:textId="77777777" w:rsidR="00BE02D9" w:rsidRPr="00036055" w:rsidRDefault="00BE02D9">
      <w:pPr>
        <w:jc w:val="center"/>
        <w:rPr>
          <w:rFonts w:ascii="Times New Roman" w:hAnsi="Times New Roman" w:cs="Times New Roman"/>
        </w:rPr>
      </w:pPr>
    </w:p>
    <w:p w14:paraId="087538E7" w14:textId="77777777" w:rsidR="00BE02D9" w:rsidRPr="00036055" w:rsidRDefault="00BE02D9">
      <w:pPr>
        <w:jc w:val="center"/>
        <w:rPr>
          <w:rFonts w:ascii="Times New Roman" w:hAnsi="Times New Roman" w:cs="Times New Roman"/>
        </w:rPr>
      </w:pPr>
    </w:p>
    <w:p w14:paraId="1414A607" w14:textId="77777777" w:rsidR="00BE02D9" w:rsidRPr="00036055" w:rsidRDefault="00BE02D9">
      <w:pPr>
        <w:jc w:val="center"/>
        <w:rPr>
          <w:rFonts w:ascii="Times New Roman" w:hAnsi="Times New Roman" w:cs="Times New Roman"/>
        </w:rPr>
      </w:pPr>
    </w:p>
    <w:p w14:paraId="25C6B620" w14:textId="77777777" w:rsidR="00BE02D9" w:rsidRPr="00036055" w:rsidRDefault="00BE02D9">
      <w:pPr>
        <w:jc w:val="center"/>
        <w:rPr>
          <w:rFonts w:ascii="Times New Roman" w:hAnsi="Times New Roman" w:cs="Times New Roman"/>
        </w:rPr>
      </w:pPr>
    </w:p>
    <w:p w14:paraId="5345BCB8" w14:textId="77777777" w:rsidR="00BE02D9" w:rsidRPr="00036055" w:rsidRDefault="00BE02D9">
      <w:pPr>
        <w:jc w:val="center"/>
        <w:rPr>
          <w:rFonts w:ascii="Times New Roman" w:hAnsi="Times New Roman" w:cs="Times New Roman"/>
        </w:rPr>
      </w:pPr>
    </w:p>
    <w:p w14:paraId="3565C98B" w14:textId="77777777" w:rsidR="00BE02D9" w:rsidRPr="00036055" w:rsidRDefault="00BE02D9">
      <w:pPr>
        <w:jc w:val="center"/>
        <w:rPr>
          <w:rFonts w:ascii="Times New Roman" w:hAnsi="Times New Roman" w:cs="Times New Roman"/>
        </w:rPr>
      </w:pPr>
    </w:p>
    <w:p w14:paraId="2BC20CA4" w14:textId="04F7D1A3" w:rsidR="00BE02D9" w:rsidRPr="00FE591F" w:rsidRDefault="00BE02D9" w:rsidP="00FE591F">
      <w:pPr>
        <w:widowControl w:val="0"/>
        <w:autoSpaceDE w:val="0"/>
        <w:autoSpaceDN w:val="0"/>
        <w:adjustRightInd w:val="0"/>
        <w:spacing w:after="240" w:line="300" w:lineRule="atLeast"/>
        <w:jc w:val="both"/>
        <w:rPr>
          <w:rFonts w:ascii="Times New Roman" w:hAnsi="Times New Roman" w:cs="Times New Roman"/>
          <w:b/>
          <w:color w:val="000000"/>
          <w:sz w:val="28"/>
          <w:szCs w:val="28"/>
        </w:rPr>
      </w:pPr>
      <w:r w:rsidRPr="00FE591F">
        <w:rPr>
          <w:rFonts w:ascii="Times New Roman" w:hAnsi="Times New Roman" w:cs="Times New Roman"/>
          <w:b/>
          <w:sz w:val="28"/>
          <w:szCs w:val="28"/>
          <w:u w:val="single"/>
        </w:rPr>
        <w:t>Objectives:</w:t>
      </w:r>
      <w:r w:rsidR="00FE591F" w:rsidRPr="00FE591F">
        <w:rPr>
          <w:rFonts w:ascii="Times New Roman" w:hAnsi="Times New Roman" w:cs="Times New Roman"/>
          <w:b/>
          <w:sz w:val="28"/>
          <w:szCs w:val="28"/>
        </w:rPr>
        <w:t xml:space="preserve"> "</w:t>
      </w:r>
      <w:r w:rsidR="00FE591F" w:rsidRPr="00FE591F">
        <w:rPr>
          <w:rFonts w:ascii="Times New Roman" w:hAnsi="Times New Roman" w:cs="Times New Roman"/>
          <w:b/>
          <w:color w:val="000000"/>
          <w:sz w:val="28"/>
          <w:szCs w:val="28"/>
        </w:rPr>
        <w:t>Our primary aim was to determine if septic shock patients evolving with normal CRT at T2 exhibited a higher mortality and org</w:t>
      </w:r>
      <w:r w:rsidR="00FE591F">
        <w:rPr>
          <w:rFonts w:ascii="Times New Roman" w:hAnsi="Times New Roman" w:cs="Times New Roman"/>
          <w:b/>
          <w:color w:val="000000"/>
          <w:sz w:val="28"/>
          <w:szCs w:val="28"/>
        </w:rPr>
        <w:t>an dysfunction after being ran</w:t>
      </w:r>
      <w:r w:rsidR="00FE591F" w:rsidRPr="00FE591F">
        <w:rPr>
          <w:rFonts w:ascii="Times New Roman" w:hAnsi="Times New Roman" w:cs="Times New Roman"/>
          <w:b/>
          <w:color w:val="000000"/>
          <w:sz w:val="28"/>
          <w:szCs w:val="28"/>
        </w:rPr>
        <w:t>domized to the LT</w:t>
      </w:r>
      <w:r w:rsidR="00FE591F">
        <w:rPr>
          <w:rFonts w:ascii="Times New Roman" w:hAnsi="Times New Roman" w:cs="Times New Roman"/>
          <w:b/>
          <w:color w:val="000000"/>
          <w:sz w:val="28"/>
          <w:szCs w:val="28"/>
        </w:rPr>
        <w:t xml:space="preserve"> [lactate-targeted]</w:t>
      </w:r>
      <w:r w:rsidR="00FE591F" w:rsidRPr="00FE591F">
        <w:rPr>
          <w:rFonts w:ascii="Times New Roman" w:hAnsi="Times New Roman" w:cs="Times New Roman"/>
          <w:b/>
          <w:color w:val="000000"/>
          <w:sz w:val="28"/>
          <w:szCs w:val="28"/>
        </w:rPr>
        <w:t xml:space="preserve"> arm at T0 than when randomized to the CRT</w:t>
      </w:r>
      <w:r w:rsidR="00FE591F">
        <w:rPr>
          <w:rFonts w:ascii="Times New Roman" w:hAnsi="Times New Roman" w:cs="Times New Roman"/>
          <w:b/>
          <w:color w:val="000000"/>
          <w:sz w:val="28"/>
          <w:szCs w:val="28"/>
        </w:rPr>
        <w:t xml:space="preserve"> [capillary refill time]</w:t>
      </w:r>
      <w:r w:rsidR="00FE591F" w:rsidRPr="00FE591F">
        <w:rPr>
          <w:rFonts w:ascii="Times New Roman" w:hAnsi="Times New Roman" w:cs="Times New Roman"/>
          <w:b/>
          <w:color w:val="000000"/>
          <w:sz w:val="28"/>
          <w:szCs w:val="28"/>
        </w:rPr>
        <w:t xml:space="preserve"> arm. Our secondary aim was to determine if those septic shock patients evolving with normal CRT at T2 received more thera</w:t>
      </w:r>
      <w:r w:rsidR="00FE591F">
        <w:rPr>
          <w:rFonts w:ascii="Times New Roman" w:hAnsi="Times New Roman" w:cs="Times New Roman"/>
          <w:b/>
          <w:color w:val="000000"/>
          <w:sz w:val="28"/>
          <w:szCs w:val="28"/>
        </w:rPr>
        <w:t>peutic interventions when rand</w:t>
      </w:r>
      <w:r w:rsidR="00FE591F" w:rsidRPr="00FE591F">
        <w:rPr>
          <w:rFonts w:ascii="Times New Roman" w:hAnsi="Times New Roman" w:cs="Times New Roman"/>
          <w:b/>
          <w:color w:val="000000"/>
          <w:sz w:val="28"/>
          <w:szCs w:val="28"/>
        </w:rPr>
        <w:t xml:space="preserve">omized to the LT arm at T0 than </w:t>
      </w:r>
      <w:r w:rsidR="00FE591F">
        <w:rPr>
          <w:rFonts w:ascii="Times New Roman" w:hAnsi="Times New Roman" w:cs="Times New Roman"/>
          <w:b/>
          <w:color w:val="000000"/>
          <w:sz w:val="28"/>
          <w:szCs w:val="28"/>
        </w:rPr>
        <w:t>when randomized to the CRT arm." (p. 2)</w:t>
      </w:r>
    </w:p>
    <w:p w14:paraId="1F9C69D0" w14:textId="77777777" w:rsidR="00FE591F" w:rsidRDefault="00BE02D9" w:rsidP="00FE591F">
      <w:pPr>
        <w:spacing w:before="240" w:after="240"/>
        <w:jc w:val="both"/>
        <w:rPr>
          <w:rFonts w:ascii="Times New Roman" w:hAnsi="Times New Roman" w:cs="Times New Roman"/>
          <w:b/>
          <w:sz w:val="28"/>
          <w:szCs w:val="28"/>
        </w:rPr>
      </w:pPr>
      <w:r w:rsidRPr="00FE591F">
        <w:rPr>
          <w:rFonts w:ascii="Times New Roman" w:hAnsi="Times New Roman" w:cs="Times New Roman"/>
          <w:b/>
          <w:sz w:val="28"/>
          <w:szCs w:val="28"/>
          <w:u w:val="single"/>
        </w:rPr>
        <w:t>Methods:</w:t>
      </w:r>
      <w:r w:rsidR="00FE591F">
        <w:rPr>
          <w:rFonts w:ascii="Times New Roman" w:hAnsi="Times New Roman" w:cs="Times New Roman"/>
          <w:b/>
          <w:sz w:val="28"/>
          <w:szCs w:val="28"/>
          <w:u w:val="single"/>
        </w:rPr>
        <w:t xml:space="preserve"> </w:t>
      </w:r>
      <w:r w:rsidR="00FE591F" w:rsidRPr="005644B5">
        <w:rPr>
          <w:rFonts w:ascii="Times New Roman" w:hAnsi="Times New Roman" w:cs="Times New Roman"/>
          <w:b/>
          <w:sz w:val="28"/>
          <w:szCs w:val="28"/>
        </w:rPr>
        <w:t xml:space="preserve">This </w:t>
      </w:r>
      <w:r w:rsidR="00FE591F">
        <w:rPr>
          <w:rFonts w:ascii="Times New Roman" w:hAnsi="Times New Roman" w:cs="Times New Roman"/>
          <w:b/>
          <w:sz w:val="28"/>
          <w:szCs w:val="28"/>
        </w:rPr>
        <w:t xml:space="preserve">is a </w:t>
      </w:r>
      <w:r w:rsidR="00FE591F" w:rsidRPr="00FE591F">
        <w:rPr>
          <w:rFonts w:ascii="Times New Roman" w:hAnsi="Times New Roman" w:cs="Times New Roman"/>
          <w:b/>
          <w:i/>
          <w:sz w:val="28"/>
          <w:szCs w:val="28"/>
        </w:rPr>
        <w:t>post hoc</w:t>
      </w:r>
      <w:r w:rsidR="00FE591F">
        <w:rPr>
          <w:rFonts w:ascii="Times New Roman" w:hAnsi="Times New Roman" w:cs="Times New Roman"/>
          <w:b/>
          <w:sz w:val="28"/>
          <w:szCs w:val="28"/>
        </w:rPr>
        <w:t xml:space="preserve"> analysis of a </w:t>
      </w:r>
      <w:r w:rsidR="00FE591F" w:rsidRPr="005644B5">
        <w:rPr>
          <w:rFonts w:ascii="Times New Roman" w:hAnsi="Times New Roman" w:cs="Times New Roman"/>
          <w:b/>
          <w:sz w:val="28"/>
          <w:szCs w:val="28"/>
        </w:rPr>
        <w:t>multicenter, random</w:t>
      </w:r>
      <w:r w:rsidR="00FE591F">
        <w:rPr>
          <w:rFonts w:ascii="Times New Roman" w:hAnsi="Times New Roman" w:cs="Times New Roman"/>
          <w:b/>
          <w:sz w:val="28"/>
          <w:szCs w:val="28"/>
        </w:rPr>
        <w:t>ized controlled trial</w:t>
      </w:r>
      <w:r w:rsidR="00FE591F" w:rsidRPr="005644B5">
        <w:rPr>
          <w:rFonts w:ascii="Times New Roman" w:hAnsi="Times New Roman" w:cs="Times New Roman"/>
          <w:b/>
          <w:sz w:val="28"/>
          <w:szCs w:val="28"/>
        </w:rPr>
        <w:t xml:space="preserve"> conducted at 28 hospitals in 5 countries in South America between March 2017 and March 2018. Consecutive adult patients (≥ 18 years) who were admitted to the ICU with septic shock were eligible for enrollment. Septic shock was defined as the presence of a suspected infection plus a lactate ≥ 2.0 mmol/L and need for vasopressors following fluid resuscitation to maintain a mean arterial pressure (MAP) ≥ 65 mmHg. Patients were randomized in a 1:1 fashion to peripheral perfusion-targeted resuscitation or lactate level-targeted resuscitation</w:t>
      </w:r>
      <w:r w:rsidR="00FE591F">
        <w:rPr>
          <w:rFonts w:ascii="Times New Roman" w:hAnsi="Times New Roman" w:cs="Times New Roman"/>
          <w:b/>
          <w:sz w:val="28"/>
          <w:szCs w:val="28"/>
        </w:rPr>
        <w:t>.</w:t>
      </w:r>
    </w:p>
    <w:p w14:paraId="3C523C97" w14:textId="17A7DD81" w:rsidR="00FE591F" w:rsidRDefault="00FE591F" w:rsidP="00FE591F">
      <w:pPr>
        <w:spacing w:before="240" w:after="240"/>
        <w:jc w:val="both"/>
        <w:rPr>
          <w:rFonts w:ascii="Times New Roman" w:hAnsi="Times New Roman" w:cs="Times New Roman"/>
          <w:b/>
          <w:sz w:val="28"/>
          <w:szCs w:val="28"/>
        </w:rPr>
      </w:pPr>
      <w:r w:rsidRPr="005644B5">
        <w:rPr>
          <w:rFonts w:ascii="Times New Roman" w:hAnsi="Times New Roman" w:cs="Times New Roman"/>
          <w:b/>
          <w:sz w:val="28"/>
          <w:szCs w:val="28"/>
        </w:rPr>
        <w:t>The interve</w:t>
      </w:r>
      <w:r>
        <w:rPr>
          <w:rFonts w:ascii="Times New Roman" w:hAnsi="Times New Roman" w:cs="Times New Roman"/>
          <w:b/>
          <w:sz w:val="28"/>
          <w:szCs w:val="28"/>
        </w:rPr>
        <w:t>n</w:t>
      </w:r>
      <w:r w:rsidRPr="005644B5">
        <w:rPr>
          <w:rFonts w:ascii="Times New Roman" w:hAnsi="Times New Roman" w:cs="Times New Roman"/>
          <w:b/>
          <w:sz w:val="28"/>
          <w:szCs w:val="28"/>
        </w:rPr>
        <w:t>tion period in both groups was 8 hours.</w:t>
      </w:r>
      <w:r>
        <w:rPr>
          <w:rFonts w:ascii="Times New Roman" w:hAnsi="Times New Roman" w:cs="Times New Roman"/>
          <w:b/>
          <w:sz w:val="28"/>
          <w:szCs w:val="28"/>
        </w:rPr>
        <w:t xml:space="preserve"> CRT</w:t>
      </w:r>
      <w:r w:rsidRPr="005644B5">
        <w:rPr>
          <w:rFonts w:ascii="Times New Roman" w:hAnsi="Times New Roman" w:cs="Times New Roman"/>
          <w:b/>
          <w:sz w:val="28"/>
          <w:szCs w:val="28"/>
        </w:rPr>
        <w:t xml:space="preserve"> </w:t>
      </w:r>
      <w:r>
        <w:rPr>
          <w:rFonts w:ascii="Times New Roman" w:hAnsi="Times New Roman" w:cs="Times New Roman"/>
          <w:b/>
          <w:sz w:val="28"/>
          <w:szCs w:val="28"/>
        </w:rPr>
        <w:t xml:space="preserve">was measured </w:t>
      </w:r>
      <w:r w:rsidRPr="005644B5">
        <w:rPr>
          <w:rFonts w:ascii="Times New Roman" w:hAnsi="Times New Roman" w:cs="Times New Roman"/>
          <w:b/>
          <w:sz w:val="28"/>
          <w:szCs w:val="28"/>
        </w:rPr>
        <w:t xml:space="preserve">every 30 minutes in the </w:t>
      </w:r>
      <w:r>
        <w:rPr>
          <w:rFonts w:ascii="Times New Roman" w:hAnsi="Times New Roman" w:cs="Times New Roman"/>
          <w:b/>
          <w:sz w:val="28"/>
          <w:szCs w:val="28"/>
        </w:rPr>
        <w:t>CRT</w:t>
      </w:r>
      <w:r w:rsidRPr="005644B5">
        <w:rPr>
          <w:rFonts w:ascii="Times New Roman" w:hAnsi="Times New Roman" w:cs="Times New Roman"/>
          <w:b/>
          <w:sz w:val="28"/>
          <w:szCs w:val="28"/>
        </w:rPr>
        <w:t xml:space="preserve"> group until normalization, and then every hour</w:t>
      </w:r>
      <w:r>
        <w:rPr>
          <w:rFonts w:ascii="Times New Roman" w:hAnsi="Times New Roman" w:cs="Times New Roman"/>
          <w:b/>
          <w:sz w:val="28"/>
          <w:szCs w:val="28"/>
        </w:rPr>
        <w:t xml:space="preserve"> thereafter</w:t>
      </w:r>
      <w:r w:rsidRPr="005644B5">
        <w:rPr>
          <w:rFonts w:ascii="Times New Roman" w:hAnsi="Times New Roman" w:cs="Times New Roman"/>
          <w:b/>
          <w:sz w:val="28"/>
          <w:szCs w:val="28"/>
        </w:rPr>
        <w:t xml:space="preserve">. In the </w:t>
      </w:r>
      <w:r>
        <w:rPr>
          <w:rFonts w:ascii="Times New Roman" w:hAnsi="Times New Roman" w:cs="Times New Roman"/>
          <w:b/>
          <w:sz w:val="28"/>
          <w:szCs w:val="28"/>
        </w:rPr>
        <w:t>LT</w:t>
      </w:r>
      <w:r w:rsidRPr="005644B5">
        <w:rPr>
          <w:rFonts w:ascii="Times New Roman" w:hAnsi="Times New Roman" w:cs="Times New Roman"/>
          <w:b/>
          <w:sz w:val="28"/>
          <w:szCs w:val="28"/>
        </w:rPr>
        <w:t xml:space="preserve"> group, lactate levels were measured every 2 hours. Both groups were managed with an identical protocolized approach to resuscitation that involved 500 mL crystalloid fluid challenges every 30 minutes, vasopressor adjustment in patients with chronic hypertension, and an "</w:t>
      </w:r>
      <w:proofErr w:type="spellStart"/>
      <w:r w:rsidRPr="005644B5">
        <w:rPr>
          <w:rFonts w:ascii="Times New Roman" w:hAnsi="Times New Roman" w:cs="Times New Roman"/>
          <w:b/>
          <w:sz w:val="28"/>
          <w:szCs w:val="28"/>
        </w:rPr>
        <w:t>inodilator</w:t>
      </w:r>
      <w:proofErr w:type="spellEnd"/>
      <w:r w:rsidRPr="005644B5">
        <w:rPr>
          <w:rFonts w:ascii="Times New Roman" w:hAnsi="Times New Roman" w:cs="Times New Roman"/>
          <w:b/>
          <w:sz w:val="28"/>
          <w:szCs w:val="28"/>
        </w:rPr>
        <w:t xml:space="preserve"> test" with low-dose dobutamine or milrinone.</w:t>
      </w:r>
    </w:p>
    <w:p w14:paraId="2162CEAD" w14:textId="272BD90C" w:rsidR="00FE591F" w:rsidRDefault="00FE591F" w:rsidP="00FE591F">
      <w:pPr>
        <w:spacing w:before="240" w:after="240"/>
        <w:jc w:val="both"/>
        <w:rPr>
          <w:rFonts w:ascii="Times New Roman" w:hAnsi="Times New Roman" w:cs="Times New Roman"/>
          <w:b/>
          <w:sz w:val="28"/>
          <w:szCs w:val="28"/>
        </w:rPr>
      </w:pPr>
      <w:r>
        <w:rPr>
          <w:rFonts w:ascii="Times New Roman" w:hAnsi="Times New Roman" w:cs="Times New Roman"/>
          <w:b/>
          <w:sz w:val="28"/>
          <w:szCs w:val="28"/>
        </w:rPr>
        <w:t>In this analysis</w:t>
      </w:r>
      <w:r w:rsidR="001C7682">
        <w:rPr>
          <w:rFonts w:ascii="Times New Roman" w:hAnsi="Times New Roman" w:cs="Times New Roman"/>
          <w:b/>
          <w:sz w:val="28"/>
          <w:szCs w:val="28"/>
        </w:rPr>
        <w:t xml:space="preserve">, the authors focused on CRT status at 2 hours after randomization (T2), looking at interventions and outcomes for the entire cohort and based on study group allocation. They specifically compared outcomes for both groups (CRT and LT) when looking only at those patients with a normal CRT at T2, then at those patients who achieved a target lactate (normal level or 20% decrease) at T2. The primary outcome was mortality. The authors also looked at a composite outcome that included the cumulative number of "actions" taken (which included each 500 mL bolus of fluid, any vasopressor test, or any </w:t>
      </w:r>
      <w:proofErr w:type="spellStart"/>
      <w:r w:rsidR="001C7682">
        <w:rPr>
          <w:rFonts w:ascii="Times New Roman" w:hAnsi="Times New Roman" w:cs="Times New Roman"/>
          <w:b/>
          <w:sz w:val="28"/>
          <w:szCs w:val="28"/>
        </w:rPr>
        <w:t>inodilator</w:t>
      </w:r>
      <w:proofErr w:type="spellEnd"/>
      <w:r w:rsidR="001C7682">
        <w:rPr>
          <w:rFonts w:ascii="Times New Roman" w:hAnsi="Times New Roman" w:cs="Times New Roman"/>
          <w:b/>
          <w:sz w:val="28"/>
          <w:szCs w:val="28"/>
        </w:rPr>
        <w:t xml:space="preserve"> test) with each action assigned a value of 1.</w:t>
      </w:r>
    </w:p>
    <w:p w14:paraId="3FEE0D02" w14:textId="62C08AB5" w:rsidR="00BE02D9" w:rsidRPr="00073A3F" w:rsidRDefault="0010654D" w:rsidP="00FE591F">
      <w:pPr>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The original study enrolled </w:t>
      </w:r>
      <w:r w:rsidRPr="005644B5">
        <w:rPr>
          <w:rFonts w:ascii="Times New Roman" w:hAnsi="Times New Roman" w:cs="Times New Roman"/>
          <w:b/>
          <w:sz w:val="28"/>
          <w:szCs w:val="28"/>
        </w:rPr>
        <w:t xml:space="preserve">424 patients, </w:t>
      </w:r>
      <w:r>
        <w:rPr>
          <w:rFonts w:ascii="Times New Roman" w:hAnsi="Times New Roman" w:cs="Times New Roman"/>
          <w:b/>
          <w:sz w:val="28"/>
          <w:szCs w:val="28"/>
        </w:rPr>
        <w:t xml:space="preserve">but only 378 had data available at T2 and were included in this analysis. At T2, 184 </w:t>
      </w:r>
      <w:r w:rsidR="00073A3F">
        <w:rPr>
          <w:rFonts w:ascii="Times New Roman" w:hAnsi="Times New Roman" w:cs="Times New Roman"/>
          <w:b/>
          <w:sz w:val="28"/>
          <w:szCs w:val="28"/>
        </w:rPr>
        <w:t>patients (49%) had a normal CRT.</w:t>
      </w:r>
      <w:r w:rsidR="00EF4E99">
        <w:rPr>
          <w:rFonts w:ascii="Times New Roman" w:hAnsi="Times New Roman" w:cs="Times New Roman"/>
          <w:b/>
          <w:sz w:val="28"/>
          <w:szCs w:val="28"/>
        </w:rPr>
        <w:t xml:space="preserve"> Of those </w:t>
      </w:r>
      <w:proofErr w:type="spellStart"/>
      <w:r w:rsidR="00EF4E99">
        <w:rPr>
          <w:rFonts w:ascii="Times New Roman" w:hAnsi="Times New Roman" w:cs="Times New Roman"/>
          <w:b/>
          <w:sz w:val="28"/>
          <w:szCs w:val="28"/>
        </w:rPr>
        <w:t>wtih</w:t>
      </w:r>
      <w:proofErr w:type="spellEnd"/>
      <w:r w:rsidR="00EF4E99">
        <w:rPr>
          <w:rFonts w:ascii="Times New Roman" w:hAnsi="Times New Roman" w:cs="Times New Roman"/>
          <w:b/>
          <w:sz w:val="28"/>
          <w:szCs w:val="28"/>
        </w:rPr>
        <w:t xml:space="preserve"> a normal CRT at T2, 102 were in the CRT arm compared with 82 in the LT arm.</w:t>
      </w:r>
    </w:p>
    <w:p w14:paraId="7F68ACB1" w14:textId="77777777" w:rsidR="00BE02D9" w:rsidRPr="00036055" w:rsidRDefault="00BE02D9">
      <w:pPr>
        <w:jc w:val="center"/>
        <w:rPr>
          <w:rFonts w:ascii="Times New Roman" w:hAnsi="Times New Roman" w:cs="Times New Roman"/>
        </w:rPr>
      </w:pPr>
    </w:p>
    <w:p w14:paraId="6DB5EBDF" w14:textId="77777777" w:rsidR="00BE02D9" w:rsidRPr="00036055" w:rsidRDefault="00BE02D9">
      <w:pPr>
        <w:jc w:val="center"/>
        <w:rPr>
          <w:rFonts w:ascii="Times New Roman" w:hAnsi="Times New Roman" w:cs="Times New Roman"/>
        </w:rPr>
      </w:pPr>
    </w:p>
    <w:p w14:paraId="7726C7AA" w14:textId="77777777" w:rsidR="00BE02D9" w:rsidRPr="00036055" w:rsidRDefault="00BE02D9">
      <w:pPr>
        <w:jc w:val="center"/>
        <w:rPr>
          <w:rFonts w:ascii="Times New Roman" w:hAnsi="Times New Roman" w:cs="Times New Roman"/>
        </w:rPr>
      </w:pPr>
    </w:p>
    <w:tbl>
      <w:tblPr>
        <w:tblStyle w:val="TableGrid"/>
        <w:tblW w:w="10545" w:type="dxa"/>
        <w:jc w:val="center"/>
        <w:tblLook w:val="04A0" w:firstRow="1" w:lastRow="0" w:firstColumn="1" w:lastColumn="0" w:noHBand="0" w:noVBand="1"/>
      </w:tblPr>
      <w:tblGrid>
        <w:gridCol w:w="3872"/>
        <w:gridCol w:w="6673"/>
      </w:tblGrid>
      <w:tr w:rsidR="00B62255" w:rsidRPr="00036055" w14:paraId="179971EB" w14:textId="77777777" w:rsidTr="00B62255">
        <w:trPr>
          <w:trHeight w:val="767"/>
          <w:jc w:val="center"/>
        </w:trPr>
        <w:tc>
          <w:tcPr>
            <w:tcW w:w="10545" w:type="dxa"/>
            <w:gridSpan w:val="2"/>
            <w:tcBorders>
              <w:bottom w:val="single" w:sz="2" w:space="0" w:color="auto"/>
            </w:tcBorders>
            <w:vAlign w:val="center"/>
          </w:tcPr>
          <w:p w14:paraId="6EBE5A41" w14:textId="5AF68F8D" w:rsidR="0098248D" w:rsidRPr="00036055" w:rsidRDefault="0098248D" w:rsidP="00B62255">
            <w:pPr>
              <w:jc w:val="center"/>
              <w:rPr>
                <w:rFonts w:ascii="Times New Roman" w:hAnsi="Times New Roman" w:cs="Times New Roman"/>
                <w:b/>
                <w:sz w:val="36"/>
                <w:szCs w:val="36"/>
              </w:rPr>
            </w:pPr>
            <w:r w:rsidRPr="00036055">
              <w:rPr>
                <w:rFonts w:ascii="Times New Roman" w:hAnsi="Times New Roman" w:cs="Times New Roman"/>
                <w:b/>
                <w:sz w:val="36"/>
                <w:szCs w:val="36"/>
              </w:rPr>
              <w:t>Critical Review Form: Therapy</w:t>
            </w:r>
          </w:p>
        </w:tc>
      </w:tr>
      <w:tr w:rsidR="00B62255" w:rsidRPr="00036055" w14:paraId="6B69E266" w14:textId="77777777" w:rsidTr="00B62255">
        <w:trPr>
          <w:trHeight w:val="103"/>
          <w:jc w:val="center"/>
        </w:trPr>
        <w:tc>
          <w:tcPr>
            <w:tcW w:w="3872" w:type="dxa"/>
            <w:tcBorders>
              <w:top w:val="single" w:sz="2" w:space="0" w:color="auto"/>
              <w:left w:val="single" w:sz="2" w:space="0" w:color="auto"/>
              <w:bottom w:val="single" w:sz="24" w:space="0" w:color="auto"/>
              <w:right w:val="single" w:sz="2" w:space="0" w:color="auto"/>
            </w:tcBorders>
            <w:vAlign w:val="center"/>
          </w:tcPr>
          <w:p w14:paraId="74B3F30C" w14:textId="77777777" w:rsidR="00365B47" w:rsidRPr="00036055" w:rsidRDefault="00365B47" w:rsidP="00B62255">
            <w:pPr>
              <w:jc w:val="center"/>
              <w:rPr>
                <w:rFonts w:ascii="Times New Roman" w:hAnsi="Times New Roman" w:cs="Times New Roman"/>
                <w:sz w:val="20"/>
                <w:szCs w:val="20"/>
              </w:rPr>
            </w:pPr>
            <w:r w:rsidRPr="00036055">
              <w:rPr>
                <w:rFonts w:ascii="Times New Roman" w:hAnsi="Times New Roman" w:cs="Times New Roman"/>
                <w:sz w:val="20"/>
                <w:szCs w:val="20"/>
              </w:rPr>
              <w:t>Guide</w:t>
            </w:r>
          </w:p>
        </w:tc>
        <w:tc>
          <w:tcPr>
            <w:tcW w:w="6673" w:type="dxa"/>
            <w:tcBorders>
              <w:top w:val="single" w:sz="2" w:space="0" w:color="auto"/>
              <w:left w:val="single" w:sz="2" w:space="0" w:color="auto"/>
              <w:bottom w:val="single" w:sz="24" w:space="0" w:color="auto"/>
              <w:right w:val="single" w:sz="2" w:space="0" w:color="auto"/>
            </w:tcBorders>
            <w:vAlign w:val="center"/>
          </w:tcPr>
          <w:p w14:paraId="368019C8" w14:textId="77777777" w:rsidR="00365B47" w:rsidRPr="00036055" w:rsidRDefault="00365B47" w:rsidP="00B62255">
            <w:pPr>
              <w:jc w:val="center"/>
              <w:rPr>
                <w:rFonts w:ascii="Times New Roman" w:hAnsi="Times New Roman" w:cs="Times New Roman"/>
                <w:sz w:val="20"/>
                <w:szCs w:val="20"/>
              </w:rPr>
            </w:pPr>
            <w:r w:rsidRPr="00036055">
              <w:rPr>
                <w:rFonts w:ascii="Times New Roman" w:hAnsi="Times New Roman" w:cs="Times New Roman"/>
                <w:sz w:val="20"/>
                <w:szCs w:val="20"/>
              </w:rPr>
              <w:t>Comments</w:t>
            </w:r>
          </w:p>
        </w:tc>
      </w:tr>
      <w:tr w:rsidR="00B62255" w:rsidRPr="00036055" w14:paraId="43F0F22C"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81F4D9A" w14:textId="77777777" w:rsidR="0098248D" w:rsidRPr="00036055" w:rsidRDefault="0098248D" w:rsidP="00873AE5">
            <w:pPr>
              <w:jc w:val="center"/>
              <w:rPr>
                <w:rFonts w:ascii="Times New Roman" w:hAnsi="Times New Roman" w:cs="Times New Roman"/>
                <w:b/>
                <w:sz w:val="28"/>
                <w:szCs w:val="28"/>
              </w:rPr>
            </w:pPr>
            <w:r w:rsidRPr="00036055">
              <w:rPr>
                <w:rFonts w:ascii="Times New Roman" w:hAnsi="Times New Roman" w:cs="Times New Roman"/>
                <w:b/>
                <w:sz w:val="28"/>
                <w:szCs w:val="28"/>
              </w:rPr>
              <w:t>Are the results valid?</w:t>
            </w:r>
          </w:p>
        </w:tc>
      </w:tr>
      <w:tr w:rsidR="00B62255" w:rsidRPr="00036055" w14:paraId="1F220513" w14:textId="77777777" w:rsidTr="00873AE5">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vAlign w:val="center"/>
          </w:tcPr>
          <w:p w14:paraId="0D876B0A" w14:textId="77777777" w:rsidR="0098248D" w:rsidRPr="00036055" w:rsidRDefault="0098248D" w:rsidP="00873AE5">
            <w:pPr>
              <w:jc w:val="center"/>
              <w:rPr>
                <w:rFonts w:ascii="Times New Roman" w:hAnsi="Times New Roman" w:cs="Times New Roman"/>
                <w:b/>
                <w:sz w:val="22"/>
                <w:szCs w:val="22"/>
              </w:rPr>
            </w:pPr>
            <w:r w:rsidRPr="00036055">
              <w:rPr>
                <w:rFonts w:ascii="Times New Roman" w:hAnsi="Times New Roman" w:cs="Times New Roman"/>
                <w:b/>
                <w:sz w:val="22"/>
                <w:szCs w:val="22"/>
              </w:rPr>
              <w:t>Did experimental and control groups being the study with a similar prognosis?</w:t>
            </w:r>
          </w:p>
        </w:tc>
      </w:tr>
      <w:tr w:rsidR="00B62255" w:rsidRPr="00036055" w14:paraId="309ED939" w14:textId="77777777" w:rsidTr="00685E3F">
        <w:trPr>
          <w:trHeight w:val="548"/>
          <w:jc w:val="center"/>
        </w:trPr>
        <w:tc>
          <w:tcPr>
            <w:tcW w:w="3872" w:type="dxa"/>
            <w:tcBorders>
              <w:left w:val="single" w:sz="24" w:space="0" w:color="auto"/>
            </w:tcBorders>
          </w:tcPr>
          <w:p w14:paraId="77296458" w14:textId="77777777" w:rsidR="00365B47" w:rsidRPr="00036055" w:rsidRDefault="00365B47">
            <w:pPr>
              <w:rPr>
                <w:rFonts w:ascii="Times New Roman" w:hAnsi="Times New Roman" w:cs="Times New Roman"/>
                <w:sz w:val="20"/>
                <w:szCs w:val="20"/>
              </w:rPr>
            </w:pPr>
            <w:r w:rsidRPr="00036055">
              <w:rPr>
                <w:rFonts w:ascii="Times New Roman" w:hAnsi="Times New Roman" w:cs="Times New Roman"/>
                <w:sz w:val="20"/>
                <w:szCs w:val="20"/>
              </w:rPr>
              <w:t>Were patients randomized?</w:t>
            </w:r>
          </w:p>
          <w:p w14:paraId="09FB77E3" w14:textId="77777777" w:rsidR="00873AE5" w:rsidRPr="00036055" w:rsidRDefault="00873AE5">
            <w:pPr>
              <w:rPr>
                <w:rFonts w:ascii="Times New Roman" w:hAnsi="Times New Roman" w:cs="Times New Roman"/>
                <w:sz w:val="20"/>
                <w:szCs w:val="20"/>
              </w:rPr>
            </w:pPr>
          </w:p>
        </w:tc>
        <w:tc>
          <w:tcPr>
            <w:tcW w:w="6673" w:type="dxa"/>
            <w:tcBorders>
              <w:right w:val="single" w:sz="24" w:space="0" w:color="auto"/>
            </w:tcBorders>
          </w:tcPr>
          <w:p w14:paraId="0F32F2F2" w14:textId="7AEC9C9C" w:rsidR="00365B47" w:rsidRPr="00F039FB" w:rsidRDefault="00F039FB">
            <w:pPr>
              <w:rPr>
                <w:rFonts w:ascii="Times New Roman" w:hAnsi="Times New Roman" w:cs="Times New Roman"/>
                <w:sz w:val="20"/>
                <w:szCs w:val="20"/>
              </w:rPr>
            </w:pPr>
            <w:r>
              <w:rPr>
                <w:rFonts w:ascii="Times New Roman" w:hAnsi="Times New Roman" w:cs="Times New Roman"/>
                <w:sz w:val="20"/>
                <w:szCs w:val="20"/>
              </w:rPr>
              <w:t xml:space="preserve">No. This was a </w:t>
            </w:r>
            <w:r>
              <w:rPr>
                <w:rFonts w:ascii="Times New Roman" w:hAnsi="Times New Roman" w:cs="Times New Roman"/>
                <w:i/>
                <w:sz w:val="20"/>
                <w:szCs w:val="20"/>
              </w:rPr>
              <w:t>post hoc</w:t>
            </w:r>
            <w:r>
              <w:rPr>
                <w:rFonts w:ascii="Times New Roman" w:hAnsi="Times New Roman" w:cs="Times New Roman"/>
                <w:sz w:val="20"/>
                <w:szCs w:val="20"/>
              </w:rPr>
              <w:t xml:space="preserve"> analysis of data from a previous randomized controlled trial. By only including patients whose CRT normalized by T2, and excluding those whose CRT did not normalize, there is a high risk of introducing imbalance between the two groups being analyzed (</w:t>
            </w:r>
            <w:hyperlink r:id="rId8" w:history="1">
              <w:r w:rsidRPr="00F039FB">
                <w:rPr>
                  <w:rStyle w:val="Hyperlink"/>
                  <w:rFonts w:ascii="Times New Roman" w:hAnsi="Times New Roman" w:cs="Times New Roman"/>
                  <w:sz w:val="20"/>
                  <w:szCs w:val="20"/>
                </w:rPr>
                <w:t>selection bias</w:t>
              </w:r>
            </w:hyperlink>
            <w:r>
              <w:rPr>
                <w:rFonts w:ascii="Times New Roman" w:hAnsi="Times New Roman" w:cs="Times New Roman"/>
                <w:sz w:val="20"/>
                <w:szCs w:val="20"/>
              </w:rPr>
              <w:t xml:space="preserve">). The authors attempted to account for certain known confounders by performing multivariate logistic regression, but this technique is flawed and does not account for </w:t>
            </w:r>
            <w:hyperlink r:id="rId9" w:history="1">
              <w:r w:rsidRPr="00F039FB">
                <w:rPr>
                  <w:rStyle w:val="Hyperlink"/>
                  <w:rFonts w:ascii="Times New Roman" w:hAnsi="Times New Roman" w:cs="Times New Roman"/>
                  <w:sz w:val="20"/>
                  <w:szCs w:val="20"/>
                </w:rPr>
                <w:t>unknown variables</w:t>
              </w:r>
            </w:hyperlink>
            <w:r>
              <w:rPr>
                <w:rFonts w:ascii="Times New Roman" w:hAnsi="Times New Roman" w:cs="Times New Roman"/>
                <w:sz w:val="20"/>
                <w:szCs w:val="20"/>
              </w:rPr>
              <w:t>.</w:t>
            </w:r>
          </w:p>
        </w:tc>
      </w:tr>
      <w:tr w:rsidR="00B62255" w:rsidRPr="00036055" w14:paraId="774B9C73" w14:textId="77777777" w:rsidTr="00B62255">
        <w:trPr>
          <w:trHeight w:val="1115"/>
          <w:jc w:val="center"/>
        </w:trPr>
        <w:tc>
          <w:tcPr>
            <w:tcW w:w="3872" w:type="dxa"/>
            <w:tcBorders>
              <w:left w:val="single" w:sz="24" w:space="0" w:color="auto"/>
            </w:tcBorders>
          </w:tcPr>
          <w:p w14:paraId="59003918" w14:textId="5C41DBDC" w:rsidR="00365B47" w:rsidRPr="00036055" w:rsidRDefault="00B62255" w:rsidP="00BE475B">
            <w:pPr>
              <w:rPr>
                <w:rFonts w:ascii="Times New Roman" w:hAnsi="Times New Roman" w:cs="Times New Roman"/>
                <w:sz w:val="20"/>
                <w:szCs w:val="20"/>
              </w:rPr>
            </w:pPr>
            <w:r w:rsidRPr="00036055">
              <w:rPr>
                <w:rFonts w:ascii="Times New Roman" w:hAnsi="Times New Roman" w:cs="Times New Roman"/>
                <w:sz w:val="20"/>
                <w:szCs w:val="20"/>
              </w:rPr>
              <w:t xml:space="preserve">Was </w:t>
            </w:r>
            <w:r w:rsidR="00BE475B" w:rsidRPr="00036055">
              <w:rPr>
                <w:rFonts w:ascii="Times New Roman" w:hAnsi="Times New Roman" w:cs="Times New Roman"/>
                <w:sz w:val="20"/>
                <w:szCs w:val="20"/>
              </w:rPr>
              <w:t>allocation concealed</w:t>
            </w:r>
            <w:r w:rsidRPr="00036055">
              <w:rPr>
                <w:rFonts w:ascii="Times New Roman" w:hAnsi="Times New Roman" w:cs="Times New Roman"/>
                <w:sz w:val="20"/>
                <w:szCs w:val="20"/>
              </w:rPr>
              <w:t>?  Was it possible to subvert the randomization to ensure a patient would be “randomized” to a particular group?</w:t>
            </w:r>
          </w:p>
        </w:tc>
        <w:tc>
          <w:tcPr>
            <w:tcW w:w="6673" w:type="dxa"/>
            <w:tcBorders>
              <w:right w:val="single" w:sz="24" w:space="0" w:color="auto"/>
            </w:tcBorders>
          </w:tcPr>
          <w:p w14:paraId="789B424E" w14:textId="1FF2B13A" w:rsidR="00365B47" w:rsidRPr="00036055" w:rsidRDefault="00F039FB">
            <w:pPr>
              <w:rPr>
                <w:rFonts w:ascii="Times New Roman" w:hAnsi="Times New Roman" w:cs="Times New Roman"/>
                <w:sz w:val="20"/>
                <w:szCs w:val="20"/>
              </w:rPr>
            </w:pPr>
            <w:r>
              <w:rPr>
                <w:rFonts w:ascii="Times New Roman" w:hAnsi="Times New Roman" w:cs="Times New Roman"/>
                <w:sz w:val="20"/>
                <w:szCs w:val="20"/>
              </w:rPr>
              <w:t>N/A.</w:t>
            </w:r>
          </w:p>
        </w:tc>
      </w:tr>
      <w:tr w:rsidR="00B62255" w:rsidRPr="00036055" w14:paraId="106CA016" w14:textId="77777777" w:rsidTr="00873AE5">
        <w:trPr>
          <w:trHeight w:val="305"/>
          <w:jc w:val="center"/>
        </w:trPr>
        <w:tc>
          <w:tcPr>
            <w:tcW w:w="3872" w:type="dxa"/>
            <w:tcBorders>
              <w:left w:val="single" w:sz="24" w:space="0" w:color="auto"/>
              <w:bottom w:val="single" w:sz="4" w:space="0" w:color="auto"/>
            </w:tcBorders>
          </w:tcPr>
          <w:p w14:paraId="2ABDDA32" w14:textId="77777777" w:rsidR="00365B47" w:rsidRPr="00036055" w:rsidRDefault="00365B47">
            <w:pPr>
              <w:rPr>
                <w:rFonts w:ascii="Times New Roman" w:hAnsi="Times New Roman" w:cs="Times New Roman"/>
                <w:sz w:val="20"/>
                <w:szCs w:val="20"/>
              </w:rPr>
            </w:pPr>
            <w:r w:rsidRPr="00036055">
              <w:rPr>
                <w:rFonts w:ascii="Times New Roman" w:hAnsi="Times New Roman" w:cs="Times New Roman"/>
                <w:sz w:val="20"/>
                <w:szCs w:val="20"/>
              </w:rPr>
              <w:t>Were patients analyzed in the groups to which they were randomized?</w:t>
            </w:r>
          </w:p>
          <w:p w14:paraId="506871BA" w14:textId="77777777" w:rsidR="00873AE5" w:rsidRPr="00036055" w:rsidRDefault="00873AE5">
            <w:pPr>
              <w:rPr>
                <w:rFonts w:ascii="Times New Roman" w:hAnsi="Times New Roman" w:cs="Times New Roman"/>
                <w:sz w:val="20"/>
                <w:szCs w:val="20"/>
              </w:rPr>
            </w:pPr>
          </w:p>
        </w:tc>
        <w:tc>
          <w:tcPr>
            <w:tcW w:w="6673" w:type="dxa"/>
            <w:tcBorders>
              <w:bottom w:val="single" w:sz="4" w:space="0" w:color="auto"/>
              <w:right w:val="single" w:sz="24" w:space="0" w:color="auto"/>
            </w:tcBorders>
          </w:tcPr>
          <w:p w14:paraId="51DFC3F0" w14:textId="45C4104A" w:rsidR="00365B47" w:rsidRPr="00036055" w:rsidRDefault="003C7DB7">
            <w:pPr>
              <w:rPr>
                <w:rFonts w:ascii="Times New Roman" w:hAnsi="Times New Roman" w:cs="Times New Roman"/>
                <w:sz w:val="20"/>
                <w:szCs w:val="20"/>
              </w:rPr>
            </w:pPr>
            <w:r>
              <w:rPr>
                <w:rFonts w:ascii="Times New Roman" w:hAnsi="Times New Roman" w:cs="Times New Roman"/>
                <w:sz w:val="20"/>
                <w:szCs w:val="20"/>
              </w:rPr>
              <w:t xml:space="preserve">No. Again, a large subset of patients </w:t>
            </w:r>
            <w:r w:rsidR="00727875">
              <w:rPr>
                <w:rFonts w:ascii="Times New Roman" w:hAnsi="Times New Roman" w:cs="Times New Roman"/>
                <w:sz w:val="20"/>
                <w:szCs w:val="20"/>
              </w:rPr>
              <w:t xml:space="preserve">originally randomized into the two groups </w:t>
            </w:r>
            <w:r>
              <w:rPr>
                <w:rFonts w:ascii="Times New Roman" w:hAnsi="Times New Roman" w:cs="Times New Roman"/>
                <w:sz w:val="20"/>
                <w:szCs w:val="20"/>
              </w:rPr>
              <w:t>was excluded</w:t>
            </w:r>
            <w:r w:rsidR="00727875">
              <w:rPr>
                <w:rFonts w:ascii="Times New Roman" w:hAnsi="Times New Roman" w:cs="Times New Roman"/>
                <w:sz w:val="20"/>
                <w:szCs w:val="20"/>
              </w:rPr>
              <w:t xml:space="preserve"> from this</w:t>
            </w:r>
            <w:r>
              <w:rPr>
                <w:rFonts w:ascii="Times New Roman" w:hAnsi="Times New Roman" w:cs="Times New Roman"/>
                <w:sz w:val="20"/>
                <w:szCs w:val="20"/>
              </w:rPr>
              <w:t xml:space="preserve"> </w:t>
            </w:r>
            <w:r w:rsidR="00727875">
              <w:rPr>
                <w:rFonts w:ascii="Times New Roman" w:hAnsi="Times New Roman" w:cs="Times New Roman"/>
                <w:sz w:val="20"/>
                <w:szCs w:val="20"/>
              </w:rPr>
              <w:t>analysis.</w:t>
            </w:r>
          </w:p>
        </w:tc>
      </w:tr>
      <w:tr w:rsidR="00B62255" w:rsidRPr="00036055" w14:paraId="2E6B204D" w14:textId="77777777" w:rsidTr="00873AE5">
        <w:trPr>
          <w:trHeight w:val="575"/>
          <w:jc w:val="center"/>
        </w:trPr>
        <w:tc>
          <w:tcPr>
            <w:tcW w:w="3872" w:type="dxa"/>
            <w:tcBorders>
              <w:left w:val="single" w:sz="24" w:space="0" w:color="auto"/>
              <w:bottom w:val="single" w:sz="2" w:space="0" w:color="auto"/>
            </w:tcBorders>
          </w:tcPr>
          <w:p w14:paraId="324633ED" w14:textId="77777777" w:rsidR="00365B47" w:rsidRPr="00036055" w:rsidRDefault="00365B47">
            <w:pPr>
              <w:rPr>
                <w:rFonts w:ascii="Times New Roman" w:hAnsi="Times New Roman" w:cs="Times New Roman"/>
                <w:sz w:val="20"/>
                <w:szCs w:val="20"/>
              </w:rPr>
            </w:pPr>
            <w:r w:rsidRPr="00036055">
              <w:rPr>
                <w:rFonts w:ascii="Times New Roman" w:hAnsi="Times New Roman" w:cs="Times New Roman"/>
                <w:sz w:val="20"/>
                <w:szCs w:val="20"/>
              </w:rPr>
              <w:t>Were patients in the treatment and control groups similar with respect to known prognostic factors?</w:t>
            </w:r>
          </w:p>
          <w:p w14:paraId="4A42CCF6" w14:textId="77777777" w:rsidR="00873AE5" w:rsidRPr="00036055" w:rsidRDefault="00873AE5">
            <w:pPr>
              <w:rPr>
                <w:rFonts w:ascii="Times New Roman" w:hAnsi="Times New Roman" w:cs="Times New Roman"/>
                <w:sz w:val="20"/>
                <w:szCs w:val="20"/>
              </w:rPr>
            </w:pPr>
          </w:p>
        </w:tc>
        <w:tc>
          <w:tcPr>
            <w:tcW w:w="6673" w:type="dxa"/>
            <w:tcBorders>
              <w:bottom w:val="single" w:sz="2" w:space="0" w:color="auto"/>
              <w:right w:val="single" w:sz="24" w:space="0" w:color="auto"/>
            </w:tcBorders>
          </w:tcPr>
          <w:p w14:paraId="7FBDC63D" w14:textId="4C7D6FA5" w:rsidR="00365B47" w:rsidRPr="00C46BC9" w:rsidRDefault="00C46BC9" w:rsidP="00C46BC9">
            <w:pPr>
              <w:rPr>
                <w:rFonts w:ascii="Times New Roman" w:hAnsi="Times New Roman" w:cs="Times New Roman"/>
                <w:sz w:val="20"/>
                <w:szCs w:val="20"/>
              </w:rPr>
            </w:pPr>
            <w:r>
              <w:rPr>
                <w:rFonts w:ascii="Times New Roman" w:hAnsi="Times New Roman" w:cs="Times New Roman"/>
                <w:sz w:val="20"/>
                <w:szCs w:val="20"/>
              </w:rPr>
              <w:t>No.</w:t>
            </w:r>
            <w:r w:rsidR="003A1912">
              <w:rPr>
                <w:rFonts w:ascii="Times New Roman" w:hAnsi="Times New Roman" w:cs="Times New Roman"/>
                <w:sz w:val="20"/>
                <w:szCs w:val="20"/>
              </w:rPr>
              <w:t xml:space="preserve"> At T2, patients in the two groups (CRT and LT) appear to be similar with respect to age, gender, APACHE II score, SOFA score, </w:t>
            </w:r>
            <w:proofErr w:type="spellStart"/>
            <w:r w:rsidR="003A1912">
              <w:rPr>
                <w:rFonts w:ascii="Times New Roman" w:hAnsi="Times New Roman" w:cs="Times New Roman"/>
                <w:sz w:val="20"/>
                <w:szCs w:val="20"/>
              </w:rPr>
              <w:t>Charlson</w:t>
            </w:r>
            <w:proofErr w:type="spellEnd"/>
            <w:r w:rsidR="003A1912">
              <w:rPr>
                <w:rFonts w:ascii="Times New Roman" w:hAnsi="Times New Roman" w:cs="Times New Roman"/>
                <w:sz w:val="20"/>
                <w:szCs w:val="20"/>
              </w:rPr>
              <w:t xml:space="preserve"> Index, sepsis origin, baseline CRT, and baseline ScvO</w:t>
            </w:r>
            <w:r w:rsidR="003A1912">
              <w:rPr>
                <w:rFonts w:ascii="Times New Roman" w:hAnsi="Times New Roman" w:cs="Times New Roman"/>
                <w:sz w:val="20"/>
                <w:szCs w:val="20"/>
                <w:vertAlign w:val="subscript"/>
              </w:rPr>
              <w:t>2</w:t>
            </w:r>
            <w:r w:rsidR="003A1912">
              <w:rPr>
                <w:rFonts w:ascii="Times New Roman" w:hAnsi="Times New Roman" w:cs="Times New Roman"/>
                <w:sz w:val="20"/>
                <w:szCs w:val="20"/>
              </w:rPr>
              <w:t>. Baseline MAP appears to be lower in the LT group compared to the CRT group (67 vs. 70 mmHg, p = 0.01), but the clinical significance of this is uncertain.</w:t>
            </w:r>
          </w:p>
        </w:tc>
      </w:tr>
      <w:tr w:rsidR="00B62255" w:rsidRPr="00036055" w14:paraId="7803706D" w14:textId="77777777" w:rsidTr="00873AE5">
        <w:trPr>
          <w:trHeight w:val="354"/>
          <w:jc w:val="center"/>
        </w:trPr>
        <w:tc>
          <w:tcPr>
            <w:tcW w:w="10545" w:type="dxa"/>
            <w:gridSpan w:val="2"/>
            <w:tcBorders>
              <w:top w:val="single" w:sz="2" w:space="0" w:color="auto"/>
              <w:left w:val="single" w:sz="24" w:space="0" w:color="auto"/>
              <w:right w:val="single" w:sz="24" w:space="0" w:color="auto"/>
            </w:tcBorders>
            <w:shd w:val="clear" w:color="auto" w:fill="D9D9D9" w:themeFill="background1" w:themeFillShade="D9"/>
            <w:vAlign w:val="center"/>
          </w:tcPr>
          <w:p w14:paraId="5EC2F37A" w14:textId="77777777" w:rsidR="00365B47" w:rsidRPr="00036055" w:rsidRDefault="002E6474" w:rsidP="00873AE5">
            <w:pPr>
              <w:jc w:val="center"/>
              <w:rPr>
                <w:rFonts w:ascii="Times New Roman" w:hAnsi="Times New Roman" w:cs="Times New Roman"/>
                <w:sz w:val="22"/>
                <w:szCs w:val="22"/>
              </w:rPr>
            </w:pPr>
            <w:r w:rsidRPr="00036055">
              <w:rPr>
                <w:rFonts w:ascii="Times New Roman" w:hAnsi="Times New Roman" w:cs="Times New Roman"/>
                <w:b/>
                <w:sz w:val="22"/>
                <w:szCs w:val="22"/>
              </w:rPr>
              <w:t>Did experimental and control groups retain a similar prognosis after the study started?</w:t>
            </w:r>
          </w:p>
        </w:tc>
      </w:tr>
      <w:tr w:rsidR="00B62255" w:rsidRPr="00036055" w14:paraId="311E94F1" w14:textId="77777777" w:rsidTr="00873AE5">
        <w:trPr>
          <w:trHeight w:val="296"/>
          <w:jc w:val="center"/>
        </w:trPr>
        <w:tc>
          <w:tcPr>
            <w:tcW w:w="3872" w:type="dxa"/>
            <w:tcBorders>
              <w:left w:val="single" w:sz="24" w:space="0" w:color="auto"/>
            </w:tcBorders>
          </w:tcPr>
          <w:p w14:paraId="5ED48BF9" w14:textId="77777777" w:rsidR="00365B47" w:rsidRPr="00036055" w:rsidRDefault="002E6474">
            <w:pPr>
              <w:rPr>
                <w:rFonts w:ascii="Times New Roman" w:hAnsi="Times New Roman" w:cs="Times New Roman"/>
                <w:sz w:val="20"/>
                <w:szCs w:val="20"/>
              </w:rPr>
            </w:pPr>
            <w:r w:rsidRPr="00036055">
              <w:rPr>
                <w:rFonts w:ascii="Times New Roman" w:hAnsi="Times New Roman" w:cs="Times New Roman"/>
                <w:sz w:val="20"/>
                <w:szCs w:val="20"/>
              </w:rPr>
              <w:t>Were patients aware of group allocation?</w:t>
            </w:r>
          </w:p>
          <w:p w14:paraId="36FCEF06" w14:textId="77777777" w:rsidR="00685E3F" w:rsidRPr="00036055" w:rsidRDefault="00685E3F">
            <w:pPr>
              <w:rPr>
                <w:rFonts w:ascii="Times New Roman" w:hAnsi="Times New Roman" w:cs="Times New Roman"/>
                <w:sz w:val="20"/>
                <w:szCs w:val="20"/>
              </w:rPr>
            </w:pPr>
          </w:p>
        </w:tc>
        <w:tc>
          <w:tcPr>
            <w:tcW w:w="6673" w:type="dxa"/>
            <w:tcBorders>
              <w:right w:val="single" w:sz="24" w:space="0" w:color="auto"/>
            </w:tcBorders>
          </w:tcPr>
          <w:p w14:paraId="206A8289" w14:textId="77777777" w:rsidR="00365B47" w:rsidRPr="00036055" w:rsidRDefault="00365B47">
            <w:pPr>
              <w:rPr>
                <w:rFonts w:ascii="Times New Roman" w:hAnsi="Times New Roman" w:cs="Times New Roman"/>
                <w:sz w:val="20"/>
                <w:szCs w:val="20"/>
              </w:rPr>
            </w:pPr>
          </w:p>
        </w:tc>
      </w:tr>
      <w:tr w:rsidR="00B62255" w:rsidRPr="00036055" w14:paraId="2164439A" w14:textId="77777777" w:rsidTr="00873AE5">
        <w:trPr>
          <w:trHeight w:val="224"/>
          <w:jc w:val="center"/>
        </w:trPr>
        <w:tc>
          <w:tcPr>
            <w:tcW w:w="3872" w:type="dxa"/>
            <w:tcBorders>
              <w:left w:val="single" w:sz="24" w:space="0" w:color="auto"/>
            </w:tcBorders>
          </w:tcPr>
          <w:p w14:paraId="7D44ACDA" w14:textId="2594DDAA" w:rsidR="00685E3F" w:rsidRPr="00036055" w:rsidRDefault="002E6474">
            <w:pPr>
              <w:rPr>
                <w:rFonts w:ascii="Times New Roman" w:hAnsi="Times New Roman" w:cs="Times New Roman"/>
                <w:sz w:val="20"/>
                <w:szCs w:val="20"/>
              </w:rPr>
            </w:pPr>
            <w:r w:rsidRPr="00036055">
              <w:rPr>
                <w:rFonts w:ascii="Times New Roman" w:hAnsi="Times New Roman" w:cs="Times New Roman"/>
                <w:sz w:val="20"/>
                <w:szCs w:val="20"/>
              </w:rPr>
              <w:t>Were clinicians aware of group allocation?</w:t>
            </w:r>
          </w:p>
        </w:tc>
        <w:tc>
          <w:tcPr>
            <w:tcW w:w="6673" w:type="dxa"/>
            <w:tcBorders>
              <w:right w:val="single" w:sz="24" w:space="0" w:color="auto"/>
            </w:tcBorders>
          </w:tcPr>
          <w:p w14:paraId="4EA81617" w14:textId="77777777" w:rsidR="00365B47" w:rsidRPr="00036055" w:rsidRDefault="00365B47">
            <w:pPr>
              <w:rPr>
                <w:rFonts w:ascii="Times New Roman" w:hAnsi="Times New Roman" w:cs="Times New Roman"/>
                <w:sz w:val="20"/>
                <w:szCs w:val="20"/>
              </w:rPr>
            </w:pPr>
          </w:p>
        </w:tc>
      </w:tr>
      <w:tr w:rsidR="00B62255" w:rsidRPr="00036055" w14:paraId="34142CBC" w14:textId="77777777" w:rsidTr="00873AE5">
        <w:trPr>
          <w:trHeight w:val="77"/>
          <w:jc w:val="center"/>
        </w:trPr>
        <w:tc>
          <w:tcPr>
            <w:tcW w:w="3872" w:type="dxa"/>
            <w:tcBorders>
              <w:left w:val="single" w:sz="24" w:space="0" w:color="auto"/>
            </w:tcBorders>
          </w:tcPr>
          <w:p w14:paraId="1E823D38" w14:textId="5B088538" w:rsidR="00685E3F" w:rsidRPr="00036055" w:rsidRDefault="002E6474">
            <w:pPr>
              <w:rPr>
                <w:rFonts w:ascii="Times New Roman" w:hAnsi="Times New Roman" w:cs="Times New Roman"/>
                <w:sz w:val="20"/>
                <w:szCs w:val="20"/>
              </w:rPr>
            </w:pPr>
            <w:r w:rsidRPr="00036055">
              <w:rPr>
                <w:rFonts w:ascii="Times New Roman" w:hAnsi="Times New Roman" w:cs="Times New Roman"/>
                <w:sz w:val="20"/>
                <w:szCs w:val="20"/>
              </w:rPr>
              <w:t>Were outcome assessors aware of group allocation?</w:t>
            </w:r>
          </w:p>
        </w:tc>
        <w:tc>
          <w:tcPr>
            <w:tcW w:w="6673" w:type="dxa"/>
            <w:tcBorders>
              <w:right w:val="single" w:sz="24" w:space="0" w:color="auto"/>
            </w:tcBorders>
          </w:tcPr>
          <w:p w14:paraId="057351C2" w14:textId="77777777" w:rsidR="00365B47" w:rsidRPr="00036055" w:rsidRDefault="00365B47">
            <w:pPr>
              <w:rPr>
                <w:rFonts w:ascii="Times New Roman" w:hAnsi="Times New Roman" w:cs="Times New Roman"/>
                <w:sz w:val="20"/>
                <w:szCs w:val="20"/>
              </w:rPr>
            </w:pPr>
          </w:p>
        </w:tc>
      </w:tr>
      <w:tr w:rsidR="00B62255" w:rsidRPr="00036055" w14:paraId="7FBED988" w14:textId="77777777" w:rsidTr="00873AE5">
        <w:trPr>
          <w:trHeight w:val="77"/>
          <w:jc w:val="center"/>
        </w:trPr>
        <w:tc>
          <w:tcPr>
            <w:tcW w:w="3872" w:type="dxa"/>
            <w:tcBorders>
              <w:left w:val="single" w:sz="24" w:space="0" w:color="auto"/>
              <w:bottom w:val="single" w:sz="24" w:space="0" w:color="auto"/>
            </w:tcBorders>
          </w:tcPr>
          <w:p w14:paraId="11C5DBC6" w14:textId="77777777" w:rsidR="00365B47" w:rsidRPr="00036055" w:rsidRDefault="002E6474">
            <w:pPr>
              <w:rPr>
                <w:rFonts w:ascii="Times New Roman" w:hAnsi="Times New Roman" w:cs="Times New Roman"/>
                <w:sz w:val="20"/>
                <w:szCs w:val="20"/>
              </w:rPr>
            </w:pPr>
            <w:r w:rsidRPr="00036055">
              <w:rPr>
                <w:rFonts w:ascii="Times New Roman" w:hAnsi="Times New Roman" w:cs="Times New Roman"/>
                <w:sz w:val="20"/>
                <w:szCs w:val="20"/>
              </w:rPr>
              <w:t>Was follow-up complete?</w:t>
            </w:r>
          </w:p>
          <w:p w14:paraId="0504F70D" w14:textId="77777777" w:rsidR="00685E3F" w:rsidRPr="00036055" w:rsidRDefault="00685E3F">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2A865D87" w14:textId="77777777" w:rsidR="00365B47" w:rsidRPr="00036055" w:rsidRDefault="00365B47">
            <w:pPr>
              <w:rPr>
                <w:rFonts w:ascii="Times New Roman" w:hAnsi="Times New Roman" w:cs="Times New Roman"/>
                <w:sz w:val="20"/>
                <w:szCs w:val="20"/>
              </w:rPr>
            </w:pPr>
          </w:p>
        </w:tc>
      </w:tr>
      <w:tr w:rsidR="00B62255" w:rsidRPr="00036055" w14:paraId="062A9FAA"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7AC4046" w14:textId="77777777" w:rsidR="002E6474" w:rsidRPr="00036055" w:rsidRDefault="002E6474" w:rsidP="00873AE5">
            <w:pPr>
              <w:jc w:val="center"/>
              <w:rPr>
                <w:rFonts w:ascii="Times New Roman" w:hAnsi="Times New Roman" w:cs="Times New Roman"/>
                <w:b/>
                <w:sz w:val="28"/>
                <w:szCs w:val="28"/>
              </w:rPr>
            </w:pPr>
            <w:r w:rsidRPr="00036055">
              <w:rPr>
                <w:rFonts w:ascii="Times New Roman" w:hAnsi="Times New Roman" w:cs="Times New Roman"/>
                <w:b/>
                <w:sz w:val="28"/>
                <w:szCs w:val="28"/>
              </w:rPr>
              <w:t>What are the results?</w:t>
            </w:r>
          </w:p>
        </w:tc>
      </w:tr>
      <w:tr w:rsidR="00B62255" w:rsidRPr="00036055" w14:paraId="3574CA5C" w14:textId="77777777" w:rsidTr="00B62255">
        <w:trPr>
          <w:trHeight w:val="367"/>
          <w:jc w:val="center"/>
        </w:trPr>
        <w:tc>
          <w:tcPr>
            <w:tcW w:w="3872" w:type="dxa"/>
            <w:tcBorders>
              <w:left w:val="single" w:sz="24" w:space="0" w:color="auto"/>
            </w:tcBorders>
          </w:tcPr>
          <w:p w14:paraId="2C3BF541" w14:textId="77777777" w:rsidR="002E6474" w:rsidRPr="00036055" w:rsidRDefault="002E6474">
            <w:pPr>
              <w:rPr>
                <w:rFonts w:ascii="Times New Roman" w:hAnsi="Times New Roman" w:cs="Times New Roman"/>
                <w:sz w:val="20"/>
                <w:szCs w:val="20"/>
              </w:rPr>
            </w:pPr>
            <w:r w:rsidRPr="00036055">
              <w:rPr>
                <w:rFonts w:ascii="Times New Roman" w:hAnsi="Times New Roman" w:cs="Times New Roman"/>
                <w:sz w:val="20"/>
                <w:szCs w:val="20"/>
              </w:rPr>
              <w:t>How large was the treatment effect?</w:t>
            </w:r>
          </w:p>
          <w:p w14:paraId="6E8CF452" w14:textId="77777777" w:rsidR="00B62255" w:rsidRPr="00036055" w:rsidRDefault="00B62255">
            <w:pPr>
              <w:rPr>
                <w:rFonts w:ascii="Times New Roman" w:hAnsi="Times New Roman" w:cs="Times New Roman"/>
                <w:sz w:val="20"/>
                <w:szCs w:val="20"/>
              </w:rPr>
            </w:pPr>
          </w:p>
          <w:p w14:paraId="3085F33D" w14:textId="77777777" w:rsidR="00685E3F" w:rsidRPr="00036055" w:rsidRDefault="00685E3F">
            <w:pPr>
              <w:rPr>
                <w:rFonts w:ascii="Times New Roman" w:hAnsi="Times New Roman" w:cs="Times New Roman"/>
                <w:sz w:val="20"/>
                <w:szCs w:val="20"/>
              </w:rPr>
            </w:pPr>
          </w:p>
          <w:p w14:paraId="1DD131F8" w14:textId="77777777" w:rsidR="00685E3F" w:rsidRPr="00036055" w:rsidRDefault="00685E3F">
            <w:pPr>
              <w:rPr>
                <w:rFonts w:ascii="Times New Roman" w:hAnsi="Times New Roman" w:cs="Times New Roman"/>
                <w:sz w:val="20"/>
                <w:szCs w:val="20"/>
              </w:rPr>
            </w:pPr>
          </w:p>
          <w:p w14:paraId="133C96CF" w14:textId="77777777" w:rsidR="00685E3F" w:rsidRPr="00036055" w:rsidRDefault="00685E3F">
            <w:pPr>
              <w:rPr>
                <w:rFonts w:ascii="Times New Roman" w:hAnsi="Times New Roman" w:cs="Times New Roman"/>
                <w:sz w:val="20"/>
                <w:szCs w:val="20"/>
              </w:rPr>
            </w:pPr>
          </w:p>
        </w:tc>
        <w:tc>
          <w:tcPr>
            <w:tcW w:w="6673" w:type="dxa"/>
            <w:tcBorders>
              <w:right w:val="single" w:sz="24" w:space="0" w:color="auto"/>
            </w:tcBorders>
          </w:tcPr>
          <w:p w14:paraId="44616555" w14:textId="500CC7A9" w:rsidR="002E6474" w:rsidRDefault="00073A3F" w:rsidP="00073A3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Patients who achieved a normal CRT at T2 received less resuscitative interventions</w:t>
            </w:r>
            <w:r w:rsidR="00EF4E99">
              <w:rPr>
                <w:rFonts w:ascii="Times New Roman" w:hAnsi="Times New Roman" w:cs="Times New Roman"/>
                <w:sz w:val="20"/>
                <w:szCs w:val="20"/>
              </w:rPr>
              <w:t xml:space="preserve">, had a lower </w:t>
            </w:r>
            <w:hyperlink r:id="rId10" w:history="1">
              <w:r w:rsidR="00EF4E99" w:rsidRPr="006E17CD">
                <w:rPr>
                  <w:rStyle w:val="Hyperlink"/>
                  <w:rFonts w:ascii="Times New Roman" w:hAnsi="Times New Roman" w:cs="Times New Roman"/>
                  <w:sz w:val="20"/>
                  <w:szCs w:val="20"/>
                </w:rPr>
                <w:t>SOFA score</w:t>
              </w:r>
            </w:hyperlink>
            <w:r w:rsidR="00EF4E99">
              <w:rPr>
                <w:rFonts w:ascii="Times New Roman" w:hAnsi="Times New Roman" w:cs="Times New Roman"/>
                <w:sz w:val="20"/>
                <w:szCs w:val="20"/>
              </w:rPr>
              <w:t xml:space="preserve"> at 24 hours (median 7 vs. 10), and had a lower 28-day mortality (30% vs. 46%) compared to those whose CRT remained abnormal, regardless of study group allocation.</w:t>
            </w:r>
          </w:p>
          <w:p w14:paraId="270F1D1B" w14:textId="77777777" w:rsidR="00E10E2E" w:rsidRDefault="00FA2E55" w:rsidP="00073A3F">
            <w:pPr>
              <w:pStyle w:val="ListParagraph"/>
              <w:numPr>
                <w:ilvl w:val="0"/>
                <w:numId w:val="4"/>
              </w:numPr>
              <w:rPr>
                <w:rFonts w:ascii="Times New Roman" w:hAnsi="Times New Roman" w:cs="Times New Roman"/>
                <w:color w:val="FF0000"/>
                <w:sz w:val="20"/>
                <w:szCs w:val="20"/>
              </w:rPr>
            </w:pPr>
            <w:r>
              <w:rPr>
                <w:rFonts w:ascii="Times New Roman" w:hAnsi="Times New Roman" w:cs="Times New Roman"/>
                <w:color w:val="FF0000"/>
                <w:sz w:val="20"/>
                <w:szCs w:val="20"/>
              </w:rPr>
              <w:t>When looking only at pa</w:t>
            </w:r>
            <w:r w:rsidR="00E10E2E">
              <w:rPr>
                <w:rFonts w:ascii="Times New Roman" w:hAnsi="Times New Roman" w:cs="Times New Roman"/>
                <w:color w:val="FF0000"/>
                <w:sz w:val="20"/>
                <w:szCs w:val="20"/>
              </w:rPr>
              <w:t>tients with a normal CRT at T2:</w:t>
            </w:r>
          </w:p>
          <w:p w14:paraId="0F96396B" w14:textId="1208A2D4" w:rsidR="00EF4E99" w:rsidRPr="00EF4E99" w:rsidRDefault="00E10E2E" w:rsidP="00E10E2E">
            <w:pPr>
              <w:pStyle w:val="ListParagraph"/>
              <w:numPr>
                <w:ilvl w:val="1"/>
                <w:numId w:val="4"/>
              </w:numPr>
              <w:rPr>
                <w:rFonts w:ascii="Times New Roman" w:hAnsi="Times New Roman" w:cs="Times New Roman"/>
                <w:color w:val="FF0000"/>
                <w:sz w:val="20"/>
                <w:szCs w:val="20"/>
              </w:rPr>
            </w:pPr>
            <w:r>
              <w:rPr>
                <w:rFonts w:ascii="Times New Roman" w:hAnsi="Times New Roman" w:cs="Times New Roman"/>
                <w:color w:val="FF0000"/>
                <w:sz w:val="20"/>
                <w:szCs w:val="20"/>
              </w:rPr>
              <w:t>P</w:t>
            </w:r>
            <w:r w:rsidR="00EF4E99" w:rsidRPr="00EF4E99">
              <w:rPr>
                <w:rFonts w:ascii="Times New Roman" w:hAnsi="Times New Roman" w:cs="Times New Roman"/>
                <w:color w:val="FF0000"/>
                <w:sz w:val="20"/>
                <w:szCs w:val="20"/>
              </w:rPr>
              <w:t>atients in the LT arm had a higher 28-day mortality compared with those in the CRT arm (40% vs. 23%, RR 1.8, 95% CI 1.1 to 2.8).</w:t>
            </w:r>
          </w:p>
          <w:p w14:paraId="22471E54" w14:textId="77777777" w:rsidR="00EF4E99" w:rsidRDefault="00FA2E55" w:rsidP="00FA2E55">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Patients in the LT arm also had more resuscitative interventions </w:t>
            </w:r>
            <w:r w:rsidR="006E17CD">
              <w:rPr>
                <w:rFonts w:ascii="Times New Roman" w:hAnsi="Times New Roman" w:cs="Times New Roman"/>
                <w:sz w:val="20"/>
                <w:szCs w:val="20"/>
              </w:rPr>
              <w:t xml:space="preserve">throughout the resuscitative intervention period </w:t>
            </w:r>
            <w:r>
              <w:rPr>
                <w:rFonts w:ascii="Times New Roman" w:hAnsi="Times New Roman" w:cs="Times New Roman"/>
                <w:sz w:val="20"/>
                <w:szCs w:val="20"/>
              </w:rPr>
              <w:t xml:space="preserve">than those in the CRT arm (median 3 vs. 1.25), </w:t>
            </w:r>
          </w:p>
          <w:p w14:paraId="16722EA9" w14:textId="14E9DAB7" w:rsidR="006E17CD" w:rsidRPr="00073A3F" w:rsidRDefault="00E10E2E" w:rsidP="00FA2E55">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Following multivariate logistic regression to balance for several confounding factors, allocation to the LT study group was associated with increased 28-day mortality (OR 3.3, 95% CI 1.5 to 7.1).</w:t>
            </w:r>
          </w:p>
        </w:tc>
      </w:tr>
      <w:tr w:rsidR="00B62255" w:rsidRPr="00036055" w14:paraId="5917A82D" w14:textId="77777777" w:rsidTr="00873AE5">
        <w:trPr>
          <w:trHeight w:val="215"/>
          <w:jc w:val="center"/>
        </w:trPr>
        <w:tc>
          <w:tcPr>
            <w:tcW w:w="3872" w:type="dxa"/>
            <w:tcBorders>
              <w:left w:val="single" w:sz="24" w:space="0" w:color="auto"/>
              <w:bottom w:val="single" w:sz="24" w:space="0" w:color="auto"/>
            </w:tcBorders>
          </w:tcPr>
          <w:p w14:paraId="7D76C384" w14:textId="09DC5E77" w:rsidR="00685E3F" w:rsidRPr="00036055" w:rsidRDefault="002E6474">
            <w:pPr>
              <w:rPr>
                <w:rFonts w:ascii="Times New Roman" w:hAnsi="Times New Roman" w:cs="Times New Roman"/>
                <w:sz w:val="20"/>
                <w:szCs w:val="20"/>
              </w:rPr>
            </w:pPr>
            <w:r w:rsidRPr="00036055">
              <w:rPr>
                <w:rFonts w:ascii="Times New Roman" w:hAnsi="Times New Roman" w:cs="Times New Roman"/>
                <w:sz w:val="20"/>
                <w:szCs w:val="20"/>
              </w:rPr>
              <w:t xml:space="preserve">How precise was the estimate of the treatment effect? </w:t>
            </w:r>
            <w:r w:rsidR="007B1222" w:rsidRPr="00036055">
              <w:rPr>
                <w:rFonts w:ascii="Times New Roman" w:hAnsi="Times New Roman" w:cs="Times New Roman"/>
                <w:sz w:val="20"/>
                <w:szCs w:val="20"/>
              </w:rPr>
              <w:t>(i.e. what 95% CIs were associated with the results?)</w:t>
            </w:r>
          </w:p>
          <w:p w14:paraId="5037A9A5" w14:textId="77777777" w:rsidR="00685E3F" w:rsidRPr="00036055" w:rsidRDefault="00685E3F">
            <w:pPr>
              <w:rPr>
                <w:rFonts w:ascii="Times New Roman" w:hAnsi="Times New Roman" w:cs="Times New Roman"/>
                <w:sz w:val="20"/>
                <w:szCs w:val="20"/>
              </w:rPr>
            </w:pPr>
          </w:p>
          <w:p w14:paraId="4CD0EF48" w14:textId="77777777" w:rsidR="00B62255" w:rsidRPr="00036055" w:rsidRDefault="00B62255">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06788875" w14:textId="77777777" w:rsidR="002E6474" w:rsidRPr="00036055" w:rsidRDefault="002E6474">
            <w:pPr>
              <w:rPr>
                <w:rFonts w:ascii="Times New Roman" w:hAnsi="Times New Roman" w:cs="Times New Roman"/>
                <w:sz w:val="20"/>
                <w:szCs w:val="20"/>
              </w:rPr>
            </w:pPr>
          </w:p>
        </w:tc>
      </w:tr>
      <w:tr w:rsidR="00B62255" w:rsidRPr="00036055" w14:paraId="1C20C5D4" w14:textId="77777777" w:rsidTr="00873AE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7B9B9E9C" w14:textId="77777777" w:rsidR="002E6474" w:rsidRPr="00036055" w:rsidRDefault="002E6474" w:rsidP="00873AE5">
            <w:pPr>
              <w:jc w:val="center"/>
              <w:rPr>
                <w:rFonts w:ascii="Times New Roman" w:hAnsi="Times New Roman" w:cs="Times New Roman"/>
                <w:b/>
                <w:sz w:val="28"/>
                <w:szCs w:val="28"/>
              </w:rPr>
            </w:pPr>
            <w:r w:rsidRPr="00036055">
              <w:rPr>
                <w:rFonts w:ascii="Times New Roman" w:hAnsi="Times New Roman" w:cs="Times New Roman"/>
                <w:b/>
                <w:sz w:val="28"/>
                <w:szCs w:val="28"/>
              </w:rPr>
              <w:lastRenderedPageBreak/>
              <w:t>How can I apply the results to patient care?</w:t>
            </w:r>
          </w:p>
        </w:tc>
      </w:tr>
      <w:tr w:rsidR="00B62255" w:rsidRPr="00036055" w14:paraId="399B549C" w14:textId="77777777" w:rsidTr="00B62255">
        <w:trPr>
          <w:trHeight w:val="367"/>
          <w:jc w:val="center"/>
        </w:trPr>
        <w:tc>
          <w:tcPr>
            <w:tcW w:w="3872" w:type="dxa"/>
            <w:tcBorders>
              <w:left w:val="single" w:sz="24" w:space="0" w:color="auto"/>
            </w:tcBorders>
          </w:tcPr>
          <w:p w14:paraId="305212EF" w14:textId="77777777" w:rsidR="002E6474" w:rsidRPr="00036055" w:rsidRDefault="002E6474">
            <w:pPr>
              <w:rPr>
                <w:rFonts w:ascii="Times New Roman" w:hAnsi="Times New Roman" w:cs="Times New Roman"/>
                <w:sz w:val="20"/>
                <w:szCs w:val="20"/>
              </w:rPr>
            </w:pPr>
            <w:r w:rsidRPr="00036055">
              <w:rPr>
                <w:rFonts w:ascii="Times New Roman" w:hAnsi="Times New Roman" w:cs="Times New Roman"/>
                <w:sz w:val="20"/>
                <w:szCs w:val="20"/>
              </w:rPr>
              <w:t>Were the study patients similar to my patient?</w:t>
            </w:r>
          </w:p>
          <w:p w14:paraId="57AD2826" w14:textId="77777777" w:rsidR="00873AE5" w:rsidRPr="00036055" w:rsidRDefault="00873AE5">
            <w:pPr>
              <w:rPr>
                <w:rFonts w:ascii="Times New Roman" w:hAnsi="Times New Roman" w:cs="Times New Roman"/>
                <w:sz w:val="20"/>
                <w:szCs w:val="20"/>
              </w:rPr>
            </w:pPr>
          </w:p>
        </w:tc>
        <w:tc>
          <w:tcPr>
            <w:tcW w:w="6673" w:type="dxa"/>
            <w:tcBorders>
              <w:right w:val="single" w:sz="24" w:space="0" w:color="auto"/>
            </w:tcBorders>
          </w:tcPr>
          <w:p w14:paraId="28EA2507" w14:textId="77777777" w:rsidR="002E6474" w:rsidRPr="00036055" w:rsidRDefault="002E6474">
            <w:pPr>
              <w:rPr>
                <w:rFonts w:ascii="Times New Roman" w:hAnsi="Times New Roman" w:cs="Times New Roman"/>
                <w:sz w:val="20"/>
                <w:szCs w:val="20"/>
              </w:rPr>
            </w:pPr>
          </w:p>
        </w:tc>
      </w:tr>
      <w:tr w:rsidR="00B62255" w:rsidRPr="00036055" w14:paraId="004FF322" w14:textId="77777777" w:rsidTr="00B62255">
        <w:trPr>
          <w:trHeight w:val="367"/>
          <w:jc w:val="center"/>
        </w:trPr>
        <w:tc>
          <w:tcPr>
            <w:tcW w:w="3872" w:type="dxa"/>
            <w:tcBorders>
              <w:left w:val="single" w:sz="24" w:space="0" w:color="auto"/>
            </w:tcBorders>
          </w:tcPr>
          <w:p w14:paraId="1709C110" w14:textId="77777777" w:rsidR="002E6474" w:rsidRPr="00036055" w:rsidRDefault="002E6474">
            <w:pPr>
              <w:rPr>
                <w:rFonts w:ascii="Times New Roman" w:hAnsi="Times New Roman" w:cs="Times New Roman"/>
                <w:sz w:val="20"/>
                <w:szCs w:val="20"/>
              </w:rPr>
            </w:pPr>
            <w:r w:rsidRPr="00036055">
              <w:rPr>
                <w:rFonts w:ascii="Times New Roman" w:hAnsi="Times New Roman" w:cs="Times New Roman"/>
                <w:sz w:val="20"/>
                <w:szCs w:val="20"/>
              </w:rPr>
              <w:t>Were all clinically important outcomes considered?</w:t>
            </w:r>
          </w:p>
          <w:p w14:paraId="6C4034DD" w14:textId="77777777" w:rsidR="00873AE5" w:rsidRPr="00036055" w:rsidRDefault="00873AE5">
            <w:pPr>
              <w:rPr>
                <w:rFonts w:ascii="Times New Roman" w:hAnsi="Times New Roman" w:cs="Times New Roman"/>
                <w:sz w:val="20"/>
                <w:szCs w:val="20"/>
              </w:rPr>
            </w:pPr>
          </w:p>
        </w:tc>
        <w:tc>
          <w:tcPr>
            <w:tcW w:w="6673" w:type="dxa"/>
            <w:tcBorders>
              <w:right w:val="single" w:sz="24" w:space="0" w:color="auto"/>
            </w:tcBorders>
          </w:tcPr>
          <w:p w14:paraId="7638E902" w14:textId="77777777" w:rsidR="002E6474" w:rsidRPr="00036055" w:rsidRDefault="002E6474">
            <w:pPr>
              <w:rPr>
                <w:rFonts w:ascii="Times New Roman" w:hAnsi="Times New Roman" w:cs="Times New Roman"/>
                <w:sz w:val="20"/>
                <w:szCs w:val="20"/>
              </w:rPr>
            </w:pPr>
          </w:p>
        </w:tc>
      </w:tr>
      <w:tr w:rsidR="00B62255" w:rsidRPr="00036055" w14:paraId="00308955" w14:textId="77777777" w:rsidTr="00B62255">
        <w:trPr>
          <w:trHeight w:val="354"/>
          <w:jc w:val="center"/>
        </w:trPr>
        <w:tc>
          <w:tcPr>
            <w:tcW w:w="3872" w:type="dxa"/>
            <w:tcBorders>
              <w:left w:val="single" w:sz="24" w:space="0" w:color="auto"/>
              <w:bottom w:val="single" w:sz="24" w:space="0" w:color="auto"/>
            </w:tcBorders>
          </w:tcPr>
          <w:p w14:paraId="162F0724" w14:textId="77777777" w:rsidR="002E6474" w:rsidRPr="00036055" w:rsidRDefault="002E6474">
            <w:pPr>
              <w:rPr>
                <w:rFonts w:ascii="Times New Roman" w:hAnsi="Times New Roman" w:cs="Times New Roman"/>
                <w:sz w:val="20"/>
                <w:szCs w:val="20"/>
              </w:rPr>
            </w:pPr>
            <w:r w:rsidRPr="00036055">
              <w:rPr>
                <w:rFonts w:ascii="Times New Roman" w:hAnsi="Times New Roman" w:cs="Times New Roman"/>
                <w:sz w:val="20"/>
                <w:szCs w:val="20"/>
              </w:rPr>
              <w:t>Are the likely treatment benefits worth the potential harm and costs?</w:t>
            </w:r>
          </w:p>
          <w:p w14:paraId="2531B4DE" w14:textId="77777777" w:rsidR="00873AE5" w:rsidRPr="00036055" w:rsidRDefault="00873AE5">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7EF460BF" w14:textId="77777777" w:rsidR="002E6474" w:rsidRPr="00036055" w:rsidRDefault="002E6474">
            <w:pPr>
              <w:rPr>
                <w:rFonts w:ascii="Times New Roman" w:hAnsi="Times New Roman" w:cs="Times New Roman"/>
                <w:sz w:val="20"/>
                <w:szCs w:val="20"/>
              </w:rPr>
            </w:pPr>
          </w:p>
        </w:tc>
      </w:tr>
    </w:tbl>
    <w:p w14:paraId="63C77B76" w14:textId="3BF36786" w:rsidR="00036055" w:rsidRDefault="00036055" w:rsidP="00036055">
      <w:pPr>
        <w:spacing w:before="240" w:after="240"/>
        <w:jc w:val="both"/>
        <w:rPr>
          <w:rFonts w:ascii="Times New Roman" w:hAnsi="Times New Roman" w:cs="Times New Roman"/>
          <w:b/>
          <w:sz w:val="28"/>
          <w:szCs w:val="28"/>
          <w:u w:val="single"/>
        </w:rPr>
      </w:pPr>
      <w:r w:rsidRPr="00036055">
        <w:rPr>
          <w:rFonts w:ascii="Times New Roman" w:hAnsi="Times New Roman" w:cs="Times New Roman"/>
          <w:b/>
          <w:sz w:val="28"/>
          <w:szCs w:val="28"/>
          <w:u w:val="single"/>
        </w:rPr>
        <w:t>Limitations:</w:t>
      </w:r>
    </w:p>
    <w:p w14:paraId="733ECEA3" w14:textId="42802AA3" w:rsidR="00F039FB" w:rsidRPr="00085F0A" w:rsidRDefault="00F039FB" w:rsidP="00F039FB">
      <w:pPr>
        <w:pStyle w:val="ListParagraph"/>
        <w:numPr>
          <w:ilvl w:val="0"/>
          <w:numId w:val="5"/>
        </w:numPr>
        <w:spacing w:before="240" w:after="240"/>
        <w:jc w:val="both"/>
        <w:rPr>
          <w:rFonts w:ascii="Times New Roman" w:hAnsi="Times New Roman" w:cs="Times New Roman"/>
          <w:b/>
          <w:sz w:val="28"/>
          <w:szCs w:val="28"/>
          <w:u w:val="single"/>
        </w:rPr>
      </w:pPr>
      <w:r>
        <w:rPr>
          <w:rFonts w:ascii="Times New Roman" w:hAnsi="Times New Roman" w:cs="Times New Roman"/>
          <w:b/>
          <w:sz w:val="28"/>
          <w:szCs w:val="28"/>
        </w:rPr>
        <w:t xml:space="preserve">This was a </w:t>
      </w:r>
      <w:r>
        <w:rPr>
          <w:rFonts w:ascii="Times New Roman" w:hAnsi="Times New Roman" w:cs="Times New Roman"/>
          <w:b/>
          <w:i/>
          <w:sz w:val="28"/>
          <w:szCs w:val="28"/>
        </w:rPr>
        <w:t>post hoc</w:t>
      </w:r>
      <w:r>
        <w:rPr>
          <w:rFonts w:ascii="Times New Roman" w:hAnsi="Times New Roman" w:cs="Times New Roman"/>
          <w:b/>
          <w:sz w:val="28"/>
          <w:szCs w:val="28"/>
        </w:rPr>
        <w:t xml:space="preserve"> analysis of data from a randomized controlled trial. The exclusion of patients whose CRT did not normalize by T2 has a high risk of creating imbalance between groups and introducing </w:t>
      </w:r>
      <w:hyperlink r:id="rId11" w:history="1">
        <w:r w:rsidRPr="00F039FB">
          <w:rPr>
            <w:rStyle w:val="Hyperlink"/>
            <w:rFonts w:ascii="Times New Roman" w:hAnsi="Times New Roman" w:cs="Times New Roman"/>
            <w:b/>
            <w:sz w:val="28"/>
            <w:szCs w:val="28"/>
          </w:rPr>
          <w:t>selection bias</w:t>
        </w:r>
      </w:hyperlink>
      <w:r>
        <w:rPr>
          <w:rFonts w:ascii="Times New Roman" w:hAnsi="Times New Roman" w:cs="Times New Roman"/>
          <w:b/>
          <w:sz w:val="28"/>
          <w:szCs w:val="28"/>
        </w:rPr>
        <w:t>.</w:t>
      </w:r>
    </w:p>
    <w:p w14:paraId="5225999B" w14:textId="34DB4668" w:rsidR="00085F0A" w:rsidRPr="00F039FB" w:rsidRDefault="00085F0A" w:rsidP="00F039FB">
      <w:pPr>
        <w:pStyle w:val="ListParagraph"/>
        <w:numPr>
          <w:ilvl w:val="0"/>
          <w:numId w:val="5"/>
        </w:numPr>
        <w:spacing w:before="240" w:after="240"/>
        <w:jc w:val="both"/>
        <w:rPr>
          <w:rFonts w:ascii="Times New Roman" w:hAnsi="Times New Roman" w:cs="Times New Roman"/>
          <w:b/>
          <w:sz w:val="28"/>
          <w:szCs w:val="28"/>
          <w:u w:val="single"/>
        </w:rPr>
      </w:pPr>
      <w:r>
        <w:rPr>
          <w:rFonts w:ascii="Times New Roman" w:hAnsi="Times New Roman" w:cs="Times New Roman"/>
          <w:b/>
          <w:sz w:val="28"/>
          <w:szCs w:val="28"/>
        </w:rPr>
        <w:t>Don't know how much fluid received between T0 and T2</w:t>
      </w:r>
      <w:r w:rsidR="00DB3E06">
        <w:rPr>
          <w:rFonts w:ascii="Times New Roman" w:hAnsi="Times New Roman" w:cs="Times New Roman"/>
          <w:b/>
          <w:sz w:val="28"/>
          <w:szCs w:val="28"/>
        </w:rPr>
        <w:t xml:space="preserve"> in the two groups</w:t>
      </w:r>
    </w:p>
    <w:p w14:paraId="6E88DB17" w14:textId="766FC20C" w:rsidR="00997BEF" w:rsidRDefault="00036055" w:rsidP="00036055">
      <w:pPr>
        <w:rPr>
          <w:rFonts w:ascii="Times New Roman" w:hAnsi="Times New Roman" w:cs="Times New Roman"/>
          <w:b/>
          <w:sz w:val="28"/>
          <w:szCs w:val="28"/>
        </w:rPr>
      </w:pPr>
      <w:r w:rsidRPr="00036055">
        <w:rPr>
          <w:rFonts w:ascii="Times New Roman" w:hAnsi="Times New Roman" w:cs="Times New Roman"/>
          <w:b/>
          <w:sz w:val="28"/>
          <w:szCs w:val="28"/>
          <w:u w:val="single"/>
        </w:rPr>
        <w:t>Bottom Line:</w:t>
      </w:r>
    </w:p>
    <w:p w14:paraId="73513815" w14:textId="687FEE93" w:rsidR="008523C8" w:rsidRPr="008523C8" w:rsidRDefault="008523C8" w:rsidP="00036055">
      <w:pPr>
        <w:rPr>
          <w:rFonts w:ascii="Times New Roman" w:hAnsi="Times New Roman" w:cs="Times New Roman"/>
        </w:rPr>
      </w:pPr>
      <w:r>
        <w:rPr>
          <w:rFonts w:ascii="Times New Roman" w:hAnsi="Times New Roman" w:cs="Times New Roman"/>
          <w:b/>
          <w:sz w:val="28"/>
          <w:szCs w:val="28"/>
        </w:rPr>
        <w:t xml:space="preserve">In this </w:t>
      </w:r>
      <w:r>
        <w:rPr>
          <w:rFonts w:ascii="Times New Roman" w:hAnsi="Times New Roman" w:cs="Times New Roman"/>
          <w:b/>
          <w:i/>
          <w:sz w:val="28"/>
          <w:szCs w:val="28"/>
        </w:rPr>
        <w:t>post hoc</w:t>
      </w:r>
      <w:r>
        <w:rPr>
          <w:rFonts w:ascii="Times New Roman" w:hAnsi="Times New Roman" w:cs="Times New Roman"/>
          <w:b/>
          <w:sz w:val="28"/>
          <w:szCs w:val="28"/>
        </w:rPr>
        <w:t xml:space="preserve"> analysis of a previous randomized controlled trial, patients with septic shock with a normalized CRT after 2 hours of resuscitation appeared to fare worse when treated with a lactate-targeted strategy than when treated </w:t>
      </w:r>
      <w:r w:rsidR="00EF5C63">
        <w:rPr>
          <w:rFonts w:ascii="Times New Roman" w:hAnsi="Times New Roman" w:cs="Times New Roman"/>
          <w:b/>
          <w:sz w:val="28"/>
          <w:szCs w:val="28"/>
        </w:rPr>
        <w:t>with a CRT-targeted strategy.</w:t>
      </w:r>
    </w:p>
    <w:sectPr w:rsidR="008523C8" w:rsidRPr="008523C8"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D56D1"/>
    <w:multiLevelType w:val="hybridMultilevel"/>
    <w:tmpl w:val="E0B4FBB0"/>
    <w:lvl w:ilvl="0" w:tplc="1812DFC4">
      <w:start w:val="1"/>
      <w:numFmt w:val="bullet"/>
      <w:lvlText w:val=""/>
      <w:lvlJc w:val="left"/>
      <w:pPr>
        <w:ind w:left="360" w:hanging="360"/>
      </w:pPr>
      <w:rPr>
        <w:rFonts w:ascii="Symbol" w:hAnsi="Symbol" w:hint="default"/>
        <w:color w:val="auto"/>
      </w:rPr>
    </w:lvl>
    <w:lvl w:ilvl="1" w:tplc="48764DFE">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912A2"/>
    <w:multiLevelType w:val="hybridMultilevel"/>
    <w:tmpl w:val="EF145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8D"/>
    <w:rsid w:val="00036055"/>
    <w:rsid w:val="00073A3F"/>
    <w:rsid w:val="00085F0A"/>
    <w:rsid w:val="0010654D"/>
    <w:rsid w:val="001C7682"/>
    <w:rsid w:val="002E6474"/>
    <w:rsid w:val="00365B47"/>
    <w:rsid w:val="003A1912"/>
    <w:rsid w:val="003C7DB7"/>
    <w:rsid w:val="004F6EED"/>
    <w:rsid w:val="0054236F"/>
    <w:rsid w:val="00685E3F"/>
    <w:rsid w:val="006D3948"/>
    <w:rsid w:val="006E17CD"/>
    <w:rsid w:val="00727875"/>
    <w:rsid w:val="007B1222"/>
    <w:rsid w:val="008523C8"/>
    <w:rsid w:val="00873AE5"/>
    <w:rsid w:val="008A5CE2"/>
    <w:rsid w:val="0098248D"/>
    <w:rsid w:val="00997BEF"/>
    <w:rsid w:val="00B62255"/>
    <w:rsid w:val="00BE02D9"/>
    <w:rsid w:val="00BE475B"/>
    <w:rsid w:val="00C46BC9"/>
    <w:rsid w:val="00DB3E06"/>
    <w:rsid w:val="00E10E2E"/>
    <w:rsid w:val="00EF4E99"/>
    <w:rsid w:val="00EF5C63"/>
    <w:rsid w:val="00F039FB"/>
    <w:rsid w:val="00FA2E55"/>
    <w:rsid w:val="00FA6CCF"/>
    <w:rsid w:val="00FE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F70BD"/>
  <w15:docId w15:val="{605E6E47-0810-F940-BB61-CE3BEACB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6E1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d.us/214914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mid.us/328454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pmid.us/21491415" TargetMode="External"/><Relationship Id="rId5" Type="http://schemas.openxmlformats.org/officeDocument/2006/relationships/hyperlink" Target="http://pmid.us/32845407" TargetMode="External"/><Relationship Id="rId10" Type="http://schemas.openxmlformats.org/officeDocument/2006/relationships/hyperlink" Target="https://www.mdcalc.com/sequential-organ-failure-assessment-sofa-score" TargetMode="External"/><Relationship Id="rId4" Type="http://schemas.openxmlformats.org/officeDocument/2006/relationships/webSettings" Target="webSettings.xml"/><Relationship Id="rId9" Type="http://schemas.openxmlformats.org/officeDocument/2006/relationships/hyperlink" Target="http://link.springer.com/chapter/10.1007/978-0-387-87959-8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24</cp:revision>
  <dcterms:created xsi:type="dcterms:W3CDTF">2016-10-20T08:53:00Z</dcterms:created>
  <dcterms:modified xsi:type="dcterms:W3CDTF">2020-11-19T02:31:00Z</dcterms:modified>
</cp:coreProperties>
</file>