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0697" w14:textId="2DF48677" w:rsidR="00997BEF" w:rsidRDefault="006A5AA3">
      <w:pPr>
        <w:rPr>
          <w:rFonts w:ascii="Times New Roman" w:hAnsi="Times New Roman" w:cs="Times New Roman"/>
        </w:rPr>
      </w:pPr>
      <w:r w:rsidRPr="006A5AA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533905C" wp14:editId="24511EA6">
                <wp:simplePos x="0" y="0"/>
                <wp:positionH relativeFrom="column">
                  <wp:posOffset>369570</wp:posOffset>
                </wp:positionH>
                <wp:positionV relativeFrom="paragraph">
                  <wp:posOffset>-87630</wp:posOffset>
                </wp:positionV>
                <wp:extent cx="6010275" cy="11861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0275" cy="1186180"/>
                        </a:xfrm>
                        <a:prstGeom prst="rect">
                          <a:avLst/>
                        </a:prstGeom>
                        <a:solidFill>
                          <a:srgbClr val="FFFFFF"/>
                        </a:solidFill>
                        <a:ln w="9525">
                          <a:solidFill>
                            <a:srgbClr val="000000"/>
                          </a:solidFill>
                          <a:miter lim="800000"/>
                          <a:headEnd/>
                          <a:tailEnd/>
                        </a:ln>
                      </wps:spPr>
                      <wps:txbx>
                        <w:txbxContent>
                          <w:p w14:paraId="000241C9" w14:textId="77777777" w:rsidR="006A5AA3" w:rsidRPr="00C36910" w:rsidRDefault="006A5AA3" w:rsidP="006A5AA3">
                            <w:pPr>
                              <w:jc w:val="center"/>
                              <w:rPr>
                                <w:rFonts w:ascii="Times New Roman" w:hAnsi="Times New Roman" w:cs="Times New Roman"/>
                                <w:b/>
                                <w:sz w:val="28"/>
                                <w:szCs w:val="28"/>
                              </w:rPr>
                            </w:pPr>
                            <w:r w:rsidRPr="00C36910">
                              <w:rPr>
                                <w:rFonts w:ascii="Times New Roman" w:hAnsi="Times New Roman" w:cs="Times New Roman"/>
                                <w:b/>
                                <w:sz w:val="28"/>
                                <w:szCs w:val="28"/>
                              </w:rPr>
                              <w:t>Critical Review Form</w:t>
                            </w:r>
                          </w:p>
                          <w:p w14:paraId="1CA4EABE" w14:textId="7DCE329E" w:rsidR="006A5AA3" w:rsidRPr="006A5AA3" w:rsidRDefault="006A5AA3" w:rsidP="006A5AA3">
                            <w:pPr>
                              <w:jc w:val="center"/>
                              <w:rPr>
                                <w:rFonts w:ascii="Times New Roman" w:hAnsi="Times New Roman" w:cs="Times New Roman"/>
                                <w:b/>
                                <w:sz w:val="28"/>
                                <w:szCs w:val="28"/>
                              </w:rPr>
                            </w:pPr>
                            <w:r>
                              <w:rPr>
                                <w:rFonts w:ascii="Times New Roman" w:hAnsi="Times New Roman" w:cs="Times New Roman"/>
                                <w:b/>
                                <w:sz w:val="28"/>
                                <w:szCs w:val="28"/>
                              </w:rPr>
                              <w:t>Meta-Analysis</w:t>
                            </w:r>
                          </w:p>
                          <w:p w14:paraId="24DA41EF" w14:textId="77777777" w:rsidR="006A5AA3" w:rsidRPr="006A5AA3" w:rsidRDefault="00144B8F" w:rsidP="006A5AA3">
                            <w:pPr>
                              <w:spacing w:before="240" w:after="240"/>
                              <w:jc w:val="center"/>
                              <w:rPr>
                                <w:rFonts w:ascii="Times New Roman" w:hAnsi="Times New Roman" w:cs="Times New Roman"/>
                                <w:sz w:val="28"/>
                                <w:szCs w:val="28"/>
                              </w:rPr>
                            </w:pPr>
                            <w:hyperlink r:id="rId5" w:history="1">
                              <w:r w:rsidR="006A5AA3" w:rsidRPr="006A5AA3">
                                <w:rPr>
                                  <w:rFonts w:ascii="Times New Roman" w:hAnsi="Times New Roman" w:cs="Times New Roman"/>
                                  <w:color w:val="000087"/>
                                  <w:sz w:val="28"/>
                                  <w:szCs w:val="28"/>
                                  <w:u w:val="single" w:color="000087"/>
                                </w:rPr>
                                <w:t>Norman G, Christie J, Liu Z, et al. Antiseptics for burns. Cochrane Database Syst Rev. 2017;7(7):CD011821.</w:t>
                              </w:r>
                            </w:hyperlink>
                          </w:p>
                          <w:p w14:paraId="26A3579B" w14:textId="77777777" w:rsidR="006A5AA3" w:rsidRPr="00C36910" w:rsidRDefault="006A5AA3" w:rsidP="006A5AA3">
                            <w:pPr>
                              <w:jc w:val="center"/>
                              <w:rPr>
                                <w:rFonts w:ascii="Times New Roman" w:hAnsi="Times New Roman" w:cs="Times New Roman"/>
                                <w:b/>
                                <w:sz w:val="28"/>
                                <w:szCs w:val="28"/>
                              </w:rPr>
                            </w:pPr>
                          </w:p>
                          <w:p w14:paraId="232BAD11" w14:textId="77777777" w:rsidR="006A5AA3" w:rsidRPr="00F666A4" w:rsidRDefault="006A5AA3" w:rsidP="006A5AA3">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3905C" id="_x0000_t202" coordsize="21600,21600" o:spt="202" path="m,l,21600r21600,l21600,xe">
                <v:stroke joinstyle="miter"/>
                <v:path gradientshapeok="t" o:connecttype="rect"/>
              </v:shapetype>
              <v:shape id="Text Box 2" o:spid="_x0000_s1026" type="#_x0000_t202" style="position:absolute;margin-left:29.1pt;margin-top:-6.9pt;width:473.25pt;height: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">
                <v:path arrowok="t"/>
                <v:textbox>
                  <w:txbxContent>
                    <w:p w14:paraId="000241C9" w14:textId="77777777" w:rsidR="006A5AA3" w:rsidRPr="00C36910" w:rsidRDefault="006A5AA3" w:rsidP="006A5AA3">
                      <w:pPr>
                        <w:jc w:val="center"/>
                        <w:rPr>
                          <w:rFonts w:ascii="Times New Roman" w:hAnsi="Times New Roman" w:cs="Times New Roman"/>
                          <w:b/>
                          <w:sz w:val="28"/>
                          <w:szCs w:val="28"/>
                        </w:rPr>
                      </w:pPr>
                      <w:r w:rsidRPr="00C36910">
                        <w:rPr>
                          <w:rFonts w:ascii="Times New Roman" w:hAnsi="Times New Roman" w:cs="Times New Roman"/>
                          <w:b/>
                          <w:sz w:val="28"/>
                          <w:szCs w:val="28"/>
                        </w:rPr>
                        <w:t>Critical Review Form</w:t>
                      </w:r>
                    </w:p>
                    <w:p w14:paraId="1CA4EABE" w14:textId="7DCE329E" w:rsidR="006A5AA3" w:rsidRPr="006A5AA3" w:rsidRDefault="006A5AA3" w:rsidP="006A5AA3">
                      <w:pPr>
                        <w:jc w:val="center"/>
                        <w:rPr>
                          <w:rFonts w:ascii="Times New Roman" w:hAnsi="Times New Roman" w:cs="Times New Roman"/>
                          <w:b/>
                          <w:sz w:val="28"/>
                          <w:szCs w:val="28"/>
                        </w:rPr>
                      </w:pPr>
                      <w:r>
                        <w:rPr>
                          <w:rFonts w:ascii="Times New Roman" w:hAnsi="Times New Roman" w:cs="Times New Roman"/>
                          <w:b/>
                          <w:sz w:val="28"/>
                          <w:szCs w:val="28"/>
                        </w:rPr>
                        <w:t>Meta-Analysis</w:t>
                      </w:r>
                    </w:p>
                    <w:p w14:paraId="24DA41EF" w14:textId="77777777" w:rsidR="006A5AA3" w:rsidRPr="006A5AA3" w:rsidRDefault="006A5AA3" w:rsidP="006A5AA3">
                      <w:pPr>
                        <w:spacing w:before="240" w:after="240"/>
                        <w:jc w:val="center"/>
                        <w:rPr>
                          <w:rFonts w:ascii="Times New Roman" w:hAnsi="Times New Roman" w:cs="Times New Roman"/>
                          <w:sz w:val="28"/>
                          <w:szCs w:val="28"/>
                        </w:rPr>
                      </w:pPr>
                      <w:hyperlink r:id="rId6" w:history="1">
                        <w:r w:rsidRPr="006A5AA3">
                          <w:rPr>
                            <w:rFonts w:ascii="Times New Roman" w:hAnsi="Times New Roman" w:cs="Times New Roman"/>
                            <w:color w:val="000087"/>
                            <w:sz w:val="28"/>
                            <w:szCs w:val="28"/>
                            <w:u w:val="single" w:color="000087"/>
                          </w:rPr>
                          <w:t>Norman G, Christie J, Liu Z, et al. Antiseptics for burns. Cochrane Database Syst Rev. 2017;7(7):CD011821.</w:t>
                        </w:r>
                      </w:hyperlink>
                    </w:p>
                    <w:p w14:paraId="26A3579B" w14:textId="77777777" w:rsidR="006A5AA3" w:rsidRPr="00C36910" w:rsidRDefault="006A5AA3" w:rsidP="006A5AA3">
                      <w:pPr>
                        <w:jc w:val="center"/>
                        <w:rPr>
                          <w:rFonts w:ascii="Times New Roman" w:hAnsi="Times New Roman" w:cs="Times New Roman"/>
                          <w:b/>
                          <w:sz w:val="28"/>
                          <w:szCs w:val="28"/>
                        </w:rPr>
                      </w:pPr>
                    </w:p>
                    <w:p w14:paraId="232BAD11" w14:textId="77777777" w:rsidR="006A5AA3" w:rsidRPr="00F666A4" w:rsidRDefault="006A5AA3" w:rsidP="006A5AA3">
                      <w:pPr>
                        <w:jc w:val="center"/>
                        <w:rPr>
                          <w:b/>
                          <w:sz w:val="28"/>
                          <w:szCs w:val="28"/>
                        </w:rPr>
                      </w:pPr>
                    </w:p>
                  </w:txbxContent>
                </v:textbox>
                <w10:wrap type="square"/>
              </v:shape>
            </w:pict>
          </mc:Fallback>
        </mc:AlternateContent>
      </w:r>
      <w:r w:rsidRPr="006A5AA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D533167" wp14:editId="500932AD">
                <wp:simplePos x="0" y="0"/>
                <wp:positionH relativeFrom="column">
                  <wp:posOffset>6487795</wp:posOffset>
                </wp:positionH>
                <wp:positionV relativeFrom="paragraph">
                  <wp:posOffset>-84637</wp:posOffset>
                </wp:positionV>
                <wp:extent cx="762000" cy="420370"/>
                <wp:effectExtent l="0" t="0" r="0" b="0"/>
                <wp:wrapTight wrapText="bothSides">
                  <wp:wrapPolygon edited="0">
                    <wp:start x="1800" y="3263"/>
                    <wp:lineTo x="1800" y="17619"/>
                    <wp:lineTo x="19440" y="17619"/>
                    <wp:lineTo x="19440" y="3263"/>
                    <wp:lineTo x="1800" y="3263"/>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E4AE" w14:textId="29D3961B" w:rsidR="006A5AA3" w:rsidRPr="00AD78F2" w:rsidRDefault="006A5AA3" w:rsidP="006A5AA3">
                            <w:pPr>
                              <w:rPr>
                                <w:rFonts w:ascii="Times New Roman" w:hAnsi="Times New Roman" w:cs="Times New Roman"/>
                              </w:rPr>
                            </w:pPr>
                            <w:r w:rsidRPr="00AD78F2">
                              <w:rPr>
                                <w:rFonts w:ascii="Times New Roman" w:hAnsi="Times New Roman" w:cs="Times New Roman"/>
                              </w:rPr>
                              <w:t>PGY-</w:t>
                            </w:r>
                            <w:r>
                              <w:rPr>
                                <w:rFonts w:ascii="Times New Roman" w:hAnsi="Times New Roman" w:cs="Times New Roman"/>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3167" id="Text Box 3" o:spid="_x0000_s1027" type="#_x0000_t202" style="position:absolute;margin-left:510.85pt;margin-top:-6.65pt;width:60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" filled="f" stroked="f">
                <v:path arrowok="t"/>
                <v:textbox inset=",7.2pt,,7.2pt">
                  <w:txbxContent>
                    <w:p w14:paraId="340BE4AE" w14:textId="29D3961B" w:rsidR="006A5AA3" w:rsidRPr="00AD78F2" w:rsidRDefault="006A5AA3" w:rsidP="006A5AA3">
                      <w:pPr>
                        <w:rPr>
                          <w:rFonts w:ascii="Times New Roman" w:hAnsi="Times New Roman" w:cs="Times New Roman"/>
                        </w:rPr>
                      </w:pPr>
                      <w:r w:rsidRPr="00AD78F2">
                        <w:rPr>
                          <w:rFonts w:ascii="Times New Roman" w:hAnsi="Times New Roman" w:cs="Times New Roman"/>
                        </w:rPr>
                        <w:t>PGY-</w:t>
                      </w:r>
                      <w:r>
                        <w:rPr>
                          <w:rFonts w:ascii="Times New Roman" w:hAnsi="Times New Roman" w:cs="Times New Roman"/>
                        </w:rPr>
                        <w:t>4</w:t>
                      </w:r>
                    </w:p>
                  </w:txbxContent>
                </v:textbox>
                <w10:wrap type="tight"/>
              </v:shape>
            </w:pict>
          </mc:Fallback>
        </mc:AlternateContent>
      </w:r>
    </w:p>
    <w:p w14:paraId="26E6023D" w14:textId="4A9529C6" w:rsidR="006A5AA3" w:rsidRDefault="006A5AA3">
      <w:pPr>
        <w:rPr>
          <w:rFonts w:ascii="Times New Roman" w:hAnsi="Times New Roman" w:cs="Times New Roman"/>
        </w:rPr>
      </w:pPr>
    </w:p>
    <w:p w14:paraId="0CD594ED" w14:textId="39F2B2CD" w:rsidR="006A5AA3" w:rsidRDefault="006A5AA3">
      <w:pPr>
        <w:rPr>
          <w:rFonts w:ascii="Times New Roman" w:hAnsi="Times New Roman" w:cs="Times New Roman"/>
        </w:rPr>
      </w:pPr>
    </w:p>
    <w:p w14:paraId="5FB0EAD1" w14:textId="7289E110" w:rsidR="006A5AA3" w:rsidRDefault="006A5AA3" w:rsidP="006A5AA3">
      <w:pPr>
        <w:spacing w:before="240" w:after="240"/>
        <w:jc w:val="both"/>
        <w:rPr>
          <w:rFonts w:ascii="Times New Roman" w:hAnsi="Times New Roman" w:cs="Times New Roman"/>
        </w:rPr>
      </w:pPr>
    </w:p>
    <w:p w14:paraId="5F77D065" w14:textId="77777777" w:rsidR="006A5AA3" w:rsidRDefault="006A5AA3" w:rsidP="006A5AA3">
      <w:pPr>
        <w:spacing w:before="240" w:after="240"/>
        <w:jc w:val="both"/>
        <w:rPr>
          <w:rFonts w:ascii="Times New Roman" w:hAnsi="Times New Roman" w:cs="Times New Roman"/>
        </w:rPr>
      </w:pPr>
    </w:p>
    <w:p w14:paraId="754A37A1" w14:textId="3532509E"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u w:val="single"/>
        </w:rPr>
        <w:t>Objective:</w:t>
      </w:r>
      <w:r w:rsidRPr="006A5AA3">
        <w:rPr>
          <w:rFonts w:ascii="Times New Roman" w:hAnsi="Times New Roman" w:cs="Times New Roman"/>
          <w:b/>
          <w:bCs/>
          <w:sz w:val="28"/>
          <w:szCs w:val="28"/>
        </w:rPr>
        <w:t xml:space="preserve"> “To assess the effects and safety of antiseptics for the treatment of burns in any setting.” (p 4)</w:t>
      </w:r>
    </w:p>
    <w:p w14:paraId="3B450284"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u w:val="single"/>
        </w:rPr>
        <w:t>Methods:</w:t>
      </w:r>
    </w:p>
    <w:p w14:paraId="617E5280"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Inclusion Criteria</w:t>
      </w:r>
    </w:p>
    <w:p w14:paraId="462FDC74"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 xml:space="preserve">These Cochrane systematic review authors included “published and unpublished randomized controlled trials (RCTs), including cluster-RCTs, irrespective of language of report.” They planned to include studies enrolling patients of any age with burn wounds of any type, severity, extent, or current infection status, managed in any care setting. “Interventions” could include topical antiseptic agents, whereas controls could include placebo, an alternative antiseptic, another therapy such as antibiotics or isolation of the patient, standard care, or no treatment. Excluded studies lacked the presence or absence of a specific antiseptic agent or antiseptics used in preparation for surgical treatment. (p 18) The authors searched the Cochrane Wounds register, CENTRAL, MEDCLINE, Embase, and CINAHL. In addition, they searched the following trial registries: </w:t>
      </w:r>
      <w:hyperlink r:id="rId7" w:history="1">
        <w:r w:rsidRPr="006A5AA3">
          <w:rPr>
            <w:rStyle w:val="Hyperlink"/>
            <w:rFonts w:ascii="Times New Roman" w:hAnsi="Times New Roman" w:cs="Times New Roman"/>
            <w:b/>
            <w:bCs/>
            <w:sz w:val="28"/>
            <w:szCs w:val="28"/>
          </w:rPr>
          <w:t>ClinicalTrials.gov</w:t>
        </w:r>
      </w:hyperlink>
      <w:r w:rsidRPr="006A5AA3">
        <w:rPr>
          <w:rFonts w:ascii="Times New Roman" w:hAnsi="Times New Roman" w:cs="Times New Roman"/>
          <w:b/>
          <w:bCs/>
          <w:sz w:val="28"/>
          <w:szCs w:val="28"/>
        </w:rPr>
        <w:t xml:space="preserve">, </w:t>
      </w:r>
      <w:hyperlink r:id="rId8" w:history="1">
        <w:r w:rsidRPr="006A5AA3">
          <w:rPr>
            <w:rStyle w:val="Hyperlink"/>
            <w:rFonts w:ascii="Times New Roman" w:hAnsi="Times New Roman" w:cs="Times New Roman"/>
            <w:b/>
            <w:bCs/>
            <w:sz w:val="28"/>
            <w:szCs w:val="28"/>
          </w:rPr>
          <w:t>World Health Organization International Clinical Trials Registry Platform</w:t>
        </w:r>
      </w:hyperlink>
      <w:r w:rsidRPr="006A5AA3">
        <w:rPr>
          <w:rFonts w:ascii="Times New Roman" w:hAnsi="Times New Roman" w:cs="Times New Roman"/>
          <w:b/>
          <w:bCs/>
          <w:sz w:val="28"/>
          <w:szCs w:val="28"/>
        </w:rPr>
        <w:t xml:space="preserve">, and the </w:t>
      </w:r>
      <w:hyperlink r:id="rId9" w:history="1">
        <w:r w:rsidRPr="006A5AA3">
          <w:rPr>
            <w:rStyle w:val="Hyperlink"/>
            <w:rFonts w:ascii="Times New Roman" w:hAnsi="Times New Roman" w:cs="Times New Roman"/>
            <w:b/>
            <w:bCs/>
            <w:sz w:val="28"/>
            <w:szCs w:val="28"/>
          </w:rPr>
          <w:t>European Union Trials Register</w:t>
        </w:r>
      </w:hyperlink>
      <w:r w:rsidRPr="006A5AA3">
        <w:rPr>
          <w:rFonts w:ascii="Times New Roman" w:hAnsi="Times New Roman" w:cs="Times New Roman"/>
          <w:b/>
          <w:bCs/>
          <w:sz w:val="28"/>
          <w:szCs w:val="28"/>
        </w:rPr>
        <w:t xml:space="preserve">. Study quality was evaluated using the </w:t>
      </w:r>
      <w:hyperlink r:id="rId10" w:history="1">
        <w:r w:rsidRPr="006A5AA3">
          <w:rPr>
            <w:rStyle w:val="Hyperlink"/>
            <w:rFonts w:ascii="Times New Roman" w:hAnsi="Times New Roman" w:cs="Times New Roman"/>
            <w:b/>
            <w:bCs/>
            <w:sz w:val="28"/>
            <w:szCs w:val="28"/>
          </w:rPr>
          <w:t>Cochrane Risk of Bias tool</w:t>
        </w:r>
      </w:hyperlink>
      <w:r w:rsidRPr="006A5AA3">
        <w:rPr>
          <w:rFonts w:ascii="Times New Roman" w:hAnsi="Times New Roman" w:cs="Times New Roman"/>
          <w:b/>
          <w:bCs/>
          <w:sz w:val="28"/>
          <w:szCs w:val="28"/>
        </w:rPr>
        <w:t>.</w:t>
      </w:r>
    </w:p>
    <w:p w14:paraId="352933D2"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Outcomes</w:t>
      </w:r>
    </w:p>
    <w:p w14:paraId="08B5C56D"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 xml:space="preserve">Wound healing was the primary effectiveness outcome, including (a) time to wound healing ideally adjusted for baseline wound area and degree of burn injury and (b) proportion of wounds completely healed during follow-up (using original study’s definitions for “wound healing”). The primary safety outcome was wound infection – either incidence of infection in wounds not infected at initial treatment or resolution of infection in wounds that were infected at initial treatment. Secondary outcomes sought included adverse events (pain, including at dressing change), health-related quality of life, resource use (dressing changes, number of nurse visits, hospital length of stay), costs associated with resource use, and mortality (overall and infection-related). The authors also planned </w:t>
      </w:r>
      <w:r w:rsidRPr="006A5AA3">
        <w:rPr>
          <w:rFonts w:ascii="Times New Roman" w:hAnsi="Times New Roman" w:cs="Times New Roman"/>
          <w:b/>
          <w:bCs/>
          <w:i/>
          <w:sz w:val="28"/>
          <w:szCs w:val="28"/>
        </w:rPr>
        <w:t>a priori</w:t>
      </w:r>
      <w:r w:rsidRPr="006A5AA3">
        <w:rPr>
          <w:rFonts w:ascii="Times New Roman" w:hAnsi="Times New Roman" w:cs="Times New Roman"/>
          <w:b/>
          <w:bCs/>
          <w:sz w:val="28"/>
          <w:szCs w:val="28"/>
        </w:rPr>
        <w:t xml:space="preserve"> subgroup analyses by age (children age &lt;18 or adults age &gt;65), as well as by burn size and depth, as well as sensitivity analysis by removal of studies at high risk of bias. Unfortunately, insufficient studies were identified to permit any of these subgroup analyses.</w:t>
      </w:r>
    </w:p>
    <w:p w14:paraId="40639AAC"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Comparators</w:t>
      </w:r>
    </w:p>
    <w:p w14:paraId="48319B8A"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lastRenderedPageBreak/>
        <w:t xml:space="preserve">Including studies compared (a) antiseptics vs. topical antibiotics, (b) two antiseptics, or (c) antiseptics and treatments without antimicrobial properties. (pp 24-25 and see Figure). </w:t>
      </w:r>
    </w:p>
    <w:p w14:paraId="3228DBEB"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 xml:space="preserve">The authors considered clinical and methodological heterogeneity (between study differences in participants, interventions, outcomes, and length of follow-up) supplemented with assessment of </w:t>
      </w:r>
      <w:hyperlink r:id="rId11" w:history="1">
        <w:r w:rsidRPr="006A5AA3">
          <w:rPr>
            <w:rStyle w:val="Hyperlink"/>
            <w:rFonts w:ascii="Times New Roman" w:hAnsi="Times New Roman" w:cs="Times New Roman"/>
            <w:b/>
            <w:bCs/>
            <w:sz w:val="28"/>
            <w:szCs w:val="28"/>
          </w:rPr>
          <w:t>statistical heterogeneity</w:t>
        </w:r>
      </w:hyperlink>
      <w:r w:rsidRPr="006A5AA3">
        <w:rPr>
          <w:rFonts w:ascii="Times New Roman" w:hAnsi="Times New Roman" w:cs="Times New Roman"/>
          <w:b/>
          <w:bCs/>
          <w:sz w:val="28"/>
          <w:szCs w:val="28"/>
        </w:rPr>
        <w:t xml:space="preserve"> including Chi-squared (p &lt; 0.10 considered high risk) and </w:t>
      </w:r>
      <w:hyperlink r:id="rId12" w:history="1">
        <w:r w:rsidRPr="006A5AA3">
          <w:rPr>
            <w:rStyle w:val="Hyperlink"/>
            <w:rFonts w:ascii="Times New Roman" w:hAnsi="Times New Roman" w:cs="Times New Roman"/>
            <w:b/>
            <w:bCs/>
            <w:sz w:val="28"/>
            <w:szCs w:val="28"/>
          </w:rPr>
          <w:t>I</w:t>
        </w:r>
        <w:r w:rsidRPr="006A5AA3">
          <w:rPr>
            <w:rStyle w:val="Hyperlink"/>
            <w:rFonts w:ascii="Times New Roman" w:hAnsi="Times New Roman" w:cs="Times New Roman"/>
            <w:b/>
            <w:bCs/>
            <w:sz w:val="28"/>
            <w:szCs w:val="28"/>
            <w:vertAlign w:val="superscript"/>
          </w:rPr>
          <w:t>2</w:t>
        </w:r>
      </w:hyperlink>
      <w:r w:rsidRPr="006A5AA3">
        <w:rPr>
          <w:rFonts w:ascii="Times New Roman" w:hAnsi="Times New Roman" w:cs="Times New Roman"/>
          <w:b/>
          <w:bCs/>
          <w:sz w:val="28"/>
          <w:szCs w:val="28"/>
        </w:rPr>
        <w:t xml:space="preserve"> (&lt;25% considered low risk). If no clinical or statistical heterogeneity identified, the authors used a </w:t>
      </w:r>
      <w:hyperlink r:id="rId13" w:history="1">
        <w:r w:rsidRPr="006A5AA3">
          <w:rPr>
            <w:rStyle w:val="Hyperlink"/>
            <w:rFonts w:ascii="Times New Roman" w:hAnsi="Times New Roman" w:cs="Times New Roman"/>
            <w:b/>
            <w:bCs/>
            <w:sz w:val="28"/>
            <w:szCs w:val="28"/>
          </w:rPr>
          <w:t>fixed-effects meta-analysis</w:t>
        </w:r>
      </w:hyperlink>
      <w:r w:rsidRPr="006A5AA3">
        <w:rPr>
          <w:rFonts w:ascii="Times New Roman" w:hAnsi="Times New Roman" w:cs="Times New Roman"/>
          <w:b/>
          <w:bCs/>
          <w:sz w:val="28"/>
          <w:szCs w:val="28"/>
        </w:rPr>
        <w:t>. Otherwise, a random-effects meta-analysis was planned. Publication bias was not evaluated if less than 10 RCTs existed for any intervention.</w:t>
      </w:r>
    </w:p>
    <w:p w14:paraId="64899797"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 xml:space="preserve">Antiseptics are defined as “topical antimicrobial agents which are thought to prevent the growth of pathogenic micro-organisms without damaging living tissue”. (p 17) Antiseptic subtypes for wound irrigation include povidone-iodine, chlorhexidine, and peroxide agents with gentian violet and </w:t>
      </w:r>
      <w:proofErr w:type="spellStart"/>
      <w:r w:rsidRPr="006A5AA3">
        <w:rPr>
          <w:rFonts w:ascii="Times New Roman" w:hAnsi="Times New Roman" w:cs="Times New Roman"/>
          <w:b/>
          <w:bCs/>
          <w:sz w:val="28"/>
          <w:szCs w:val="28"/>
        </w:rPr>
        <w:t>hypochlorites</w:t>
      </w:r>
      <w:proofErr w:type="spellEnd"/>
      <w:r w:rsidRPr="006A5AA3">
        <w:rPr>
          <w:rFonts w:ascii="Times New Roman" w:hAnsi="Times New Roman" w:cs="Times New Roman"/>
          <w:b/>
          <w:bCs/>
          <w:sz w:val="28"/>
          <w:szCs w:val="28"/>
        </w:rPr>
        <w:t>. More commonly used products include silver sulfadiazine and silver-impregnated dressings. Honey-based products are also used. Antiseptics are the focus of this Cochrane review and are bactericidal or bacteriostatic. Antibiotics are substances that “destroy or inhibit the growth of bacterial (normally by inhibiting DNA, protein synthesis, or by disrupting the bacterial cell wall).” (p 20) Another Cochrane review (</w:t>
      </w:r>
      <w:hyperlink r:id="rId14" w:history="1">
        <w:r w:rsidRPr="006A5AA3">
          <w:rPr>
            <w:rStyle w:val="Hyperlink"/>
            <w:rFonts w:ascii="Times New Roman" w:hAnsi="Times New Roman" w:cs="Times New Roman"/>
            <w:b/>
            <w:bCs/>
            <w:sz w:val="28"/>
            <w:szCs w:val="28"/>
          </w:rPr>
          <w:t>Barajas-Nava 2013</w:t>
        </w:r>
      </w:hyperlink>
      <w:r w:rsidRPr="006A5AA3">
        <w:rPr>
          <w:rFonts w:ascii="Times New Roman" w:hAnsi="Times New Roman" w:cs="Times New Roman"/>
          <w:b/>
          <w:bCs/>
          <w:sz w:val="28"/>
          <w:szCs w:val="28"/>
        </w:rPr>
        <w:t>) evaluate antibiotic prophylaxis for burn wounds. Routine prophylaxis against infection with systemic antibiotics is not recommended.</w:t>
      </w:r>
    </w:p>
    <w:p w14:paraId="0D89782A" w14:textId="77777777" w:rsidR="006A5AA3" w:rsidRPr="006A5AA3" w:rsidRDefault="006A5AA3" w:rsidP="006A5AA3">
      <w:pPr>
        <w:spacing w:before="240" w:after="240"/>
        <w:jc w:val="both"/>
        <w:rPr>
          <w:rFonts w:ascii="Times New Roman" w:hAnsi="Times New Roman" w:cs="Times New Roman"/>
          <w:b/>
          <w:bCs/>
          <w:sz w:val="28"/>
          <w:szCs w:val="28"/>
        </w:rPr>
      </w:pPr>
      <w:r w:rsidRPr="006A5AA3">
        <w:rPr>
          <w:rFonts w:ascii="Times New Roman" w:hAnsi="Times New Roman" w:cs="Times New Roman"/>
          <w:b/>
          <w:bCs/>
          <w:noProof/>
          <w:sz w:val="28"/>
          <w:szCs w:val="28"/>
        </w:rPr>
        <w:drawing>
          <wp:inline distT="0" distB="0" distL="0" distR="0" wp14:anchorId="6B418556" wp14:editId="4BA5156C">
            <wp:extent cx="5355180" cy="3835400"/>
            <wp:effectExtent l="0" t="0" r="0" b="0"/>
            <wp:docPr id="1" name="Picture 1" descr="A picture contain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lding&#10;&#10;Description automatically generated"/>
                    <pic:cNvPicPr/>
                  </pic:nvPicPr>
                  <pic:blipFill>
                    <a:blip r:embed="rId15"/>
                    <a:stretch>
                      <a:fillRect/>
                    </a:stretch>
                  </pic:blipFill>
                  <pic:spPr>
                    <a:xfrm>
                      <a:off x="0" y="0"/>
                      <a:ext cx="5366396" cy="3843433"/>
                    </a:xfrm>
                    <a:prstGeom prst="rect">
                      <a:avLst/>
                    </a:prstGeom>
                  </pic:spPr>
                </pic:pic>
              </a:graphicData>
            </a:graphic>
          </wp:inline>
        </w:drawing>
      </w:r>
    </w:p>
    <w:p w14:paraId="53B191F5" w14:textId="6DD3A3D8" w:rsidR="006A5AA3" w:rsidRDefault="006A5AA3" w:rsidP="006A5AA3">
      <w:pPr>
        <w:rPr>
          <w:rFonts w:ascii="Times New Roman" w:hAnsi="Times New Roman" w:cs="Times New Roman"/>
        </w:rPr>
      </w:pPr>
      <w:r w:rsidRPr="006A5AA3">
        <w:rPr>
          <w:rFonts w:ascii="Times New Roman" w:hAnsi="Times New Roman" w:cs="Times New Roman"/>
          <w:b/>
          <w:bCs/>
          <w:sz w:val="28"/>
          <w:szCs w:val="28"/>
        </w:rPr>
        <w:br/>
      </w:r>
    </w:p>
    <w:p w14:paraId="58987004" w14:textId="77777777" w:rsidR="006A5AA3" w:rsidRPr="006A5AA3" w:rsidRDefault="006A5AA3">
      <w:pPr>
        <w:rPr>
          <w:rFonts w:ascii="Times New Roman" w:hAnsi="Times New Roman" w:cs="Times New Roman"/>
        </w:rPr>
      </w:pPr>
    </w:p>
    <w:tbl>
      <w:tblPr>
        <w:tblStyle w:val="TableGrid"/>
        <w:tblW w:w="10540" w:type="dxa"/>
        <w:jc w:val="center"/>
        <w:tblLook w:val="04A0" w:firstRow="1" w:lastRow="0" w:firstColumn="1" w:lastColumn="0" w:noHBand="0" w:noVBand="1"/>
      </w:tblPr>
      <w:tblGrid>
        <w:gridCol w:w="3792"/>
        <w:gridCol w:w="25"/>
        <w:gridCol w:w="6723"/>
      </w:tblGrid>
      <w:tr w:rsidR="006A5AA3" w:rsidRPr="006A5AA3" w14:paraId="176FD14D" w14:textId="77777777" w:rsidTr="00EF32E4">
        <w:trPr>
          <w:trHeight w:val="767"/>
          <w:jc w:val="center"/>
        </w:trPr>
        <w:tc>
          <w:tcPr>
            <w:tcW w:w="10540" w:type="dxa"/>
            <w:gridSpan w:val="3"/>
            <w:tcBorders>
              <w:bottom w:val="single" w:sz="2" w:space="0" w:color="auto"/>
            </w:tcBorders>
            <w:vAlign w:val="center"/>
          </w:tcPr>
          <w:p w14:paraId="6B0E1CB2" w14:textId="77777777" w:rsidR="006A5AA3" w:rsidRPr="006A5AA3" w:rsidRDefault="006A5AA3" w:rsidP="00EF32E4">
            <w:pPr>
              <w:jc w:val="center"/>
              <w:rPr>
                <w:rFonts w:ascii="Times New Roman" w:hAnsi="Times New Roman" w:cs="Times New Roman"/>
                <w:b/>
                <w:sz w:val="36"/>
                <w:szCs w:val="36"/>
              </w:rPr>
            </w:pPr>
            <w:r w:rsidRPr="006A5AA3">
              <w:rPr>
                <w:rFonts w:ascii="Times New Roman" w:hAnsi="Times New Roman" w:cs="Times New Roman"/>
                <w:b/>
                <w:sz w:val="36"/>
                <w:szCs w:val="36"/>
              </w:rPr>
              <w:lastRenderedPageBreak/>
              <w:t>Critical Review Form: Meta-Analysis</w:t>
            </w:r>
          </w:p>
        </w:tc>
      </w:tr>
      <w:tr w:rsidR="006A5AA3" w:rsidRPr="006A5AA3" w14:paraId="6335173C" w14:textId="77777777" w:rsidTr="00EF32E4">
        <w:trPr>
          <w:trHeight w:val="103"/>
          <w:jc w:val="center"/>
        </w:trPr>
        <w:tc>
          <w:tcPr>
            <w:tcW w:w="3792" w:type="dxa"/>
            <w:tcBorders>
              <w:top w:val="single" w:sz="2" w:space="0" w:color="auto"/>
              <w:left w:val="single" w:sz="2" w:space="0" w:color="auto"/>
              <w:bottom w:val="single" w:sz="24" w:space="0" w:color="auto"/>
              <w:right w:val="single" w:sz="2" w:space="0" w:color="auto"/>
            </w:tcBorders>
            <w:vAlign w:val="center"/>
          </w:tcPr>
          <w:p w14:paraId="37BD3B88" w14:textId="77777777" w:rsidR="006A5AA3" w:rsidRPr="006A5AA3" w:rsidRDefault="006A5AA3" w:rsidP="00EF32E4">
            <w:pPr>
              <w:jc w:val="center"/>
              <w:rPr>
                <w:rFonts w:ascii="Times New Roman" w:hAnsi="Times New Roman" w:cs="Times New Roman"/>
                <w:sz w:val="20"/>
                <w:szCs w:val="20"/>
              </w:rPr>
            </w:pPr>
            <w:r w:rsidRPr="006A5AA3">
              <w:rPr>
                <w:rFonts w:ascii="Times New Roman" w:hAnsi="Times New Roman" w:cs="Times New Roman"/>
                <w:sz w:val="20"/>
                <w:szCs w:val="20"/>
              </w:rPr>
              <w:t>Guide</w:t>
            </w:r>
          </w:p>
        </w:tc>
        <w:tc>
          <w:tcPr>
            <w:tcW w:w="6748" w:type="dxa"/>
            <w:gridSpan w:val="2"/>
            <w:tcBorders>
              <w:top w:val="single" w:sz="2" w:space="0" w:color="auto"/>
              <w:left w:val="single" w:sz="2" w:space="0" w:color="auto"/>
              <w:bottom w:val="single" w:sz="24" w:space="0" w:color="auto"/>
              <w:right w:val="single" w:sz="2" w:space="0" w:color="auto"/>
            </w:tcBorders>
            <w:vAlign w:val="center"/>
          </w:tcPr>
          <w:p w14:paraId="71A1B1F6" w14:textId="77777777" w:rsidR="006A5AA3" w:rsidRPr="006A5AA3" w:rsidRDefault="006A5AA3" w:rsidP="00EF32E4">
            <w:pPr>
              <w:jc w:val="center"/>
              <w:rPr>
                <w:rFonts w:ascii="Times New Roman" w:hAnsi="Times New Roman" w:cs="Times New Roman"/>
                <w:sz w:val="20"/>
                <w:szCs w:val="20"/>
              </w:rPr>
            </w:pPr>
            <w:r w:rsidRPr="006A5AA3">
              <w:rPr>
                <w:rFonts w:ascii="Times New Roman" w:hAnsi="Times New Roman" w:cs="Times New Roman"/>
                <w:sz w:val="20"/>
                <w:szCs w:val="20"/>
              </w:rPr>
              <w:t>Comments</w:t>
            </w:r>
          </w:p>
        </w:tc>
      </w:tr>
      <w:tr w:rsidR="006A5AA3" w:rsidRPr="006A5AA3" w14:paraId="74FAEB95" w14:textId="77777777" w:rsidTr="00EF32E4">
        <w:trPr>
          <w:trHeight w:val="354"/>
          <w:jc w:val="center"/>
        </w:trPr>
        <w:tc>
          <w:tcPr>
            <w:tcW w:w="10540" w:type="dxa"/>
            <w:gridSpan w:val="3"/>
            <w:tcBorders>
              <w:top w:val="single" w:sz="24" w:space="0" w:color="auto"/>
              <w:left w:val="single" w:sz="24" w:space="0" w:color="auto"/>
              <w:right w:val="single" w:sz="24" w:space="0" w:color="auto"/>
            </w:tcBorders>
            <w:vAlign w:val="center"/>
          </w:tcPr>
          <w:p w14:paraId="06C95628" w14:textId="77777777" w:rsidR="006A5AA3" w:rsidRPr="006A5AA3" w:rsidRDefault="006A5AA3" w:rsidP="00EF32E4">
            <w:pPr>
              <w:jc w:val="center"/>
              <w:rPr>
                <w:rFonts w:ascii="Times New Roman" w:hAnsi="Times New Roman" w:cs="Times New Roman"/>
                <w:b/>
                <w:sz w:val="28"/>
                <w:szCs w:val="28"/>
              </w:rPr>
            </w:pPr>
            <w:r w:rsidRPr="006A5AA3">
              <w:rPr>
                <w:rFonts w:ascii="Times New Roman" w:hAnsi="Times New Roman" w:cs="Times New Roman"/>
                <w:b/>
                <w:sz w:val="28"/>
                <w:szCs w:val="28"/>
              </w:rPr>
              <w:t>Are the results valid?</w:t>
            </w:r>
          </w:p>
        </w:tc>
      </w:tr>
      <w:tr w:rsidR="006A5AA3" w:rsidRPr="006A5AA3" w14:paraId="3037D574" w14:textId="77777777" w:rsidTr="00EF32E4">
        <w:trPr>
          <w:trHeight w:val="170"/>
          <w:jc w:val="center"/>
        </w:trPr>
        <w:tc>
          <w:tcPr>
            <w:tcW w:w="3792" w:type="dxa"/>
            <w:tcBorders>
              <w:left w:val="single" w:sz="24" w:space="0" w:color="auto"/>
            </w:tcBorders>
          </w:tcPr>
          <w:p w14:paraId="592CB607"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Did the review explicitly address a sensible question?</w:t>
            </w:r>
          </w:p>
          <w:p w14:paraId="235010F9" w14:textId="77777777" w:rsidR="006A5AA3" w:rsidRPr="006A5AA3" w:rsidRDefault="006A5AA3" w:rsidP="00EF32E4">
            <w:pPr>
              <w:rPr>
                <w:rFonts w:ascii="Times New Roman" w:hAnsi="Times New Roman" w:cs="Times New Roman"/>
                <w:sz w:val="20"/>
                <w:szCs w:val="20"/>
              </w:rPr>
            </w:pPr>
          </w:p>
        </w:tc>
        <w:tc>
          <w:tcPr>
            <w:tcW w:w="6748" w:type="dxa"/>
            <w:gridSpan w:val="2"/>
            <w:tcBorders>
              <w:right w:val="single" w:sz="24" w:space="0" w:color="auto"/>
            </w:tcBorders>
          </w:tcPr>
          <w:p w14:paraId="51A7DF8C"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Yes – are available and commonly used topical agents/dressings effective and safe for burn wounds in comparison with standard care, other topical agents (antiseptic or antibacterial), or placebo.</w:t>
            </w:r>
          </w:p>
        </w:tc>
      </w:tr>
      <w:tr w:rsidR="006A5AA3" w:rsidRPr="006A5AA3" w14:paraId="46BB2FEA" w14:textId="77777777" w:rsidTr="00EF32E4">
        <w:trPr>
          <w:trHeight w:val="1115"/>
          <w:jc w:val="center"/>
        </w:trPr>
        <w:tc>
          <w:tcPr>
            <w:tcW w:w="3792" w:type="dxa"/>
            <w:tcBorders>
              <w:left w:val="single" w:sz="24" w:space="0" w:color="auto"/>
            </w:tcBorders>
          </w:tcPr>
          <w:p w14:paraId="69048394"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Was the search for relevant studies detailed and exhaustive?</w:t>
            </w:r>
          </w:p>
          <w:p w14:paraId="6D38A6B2" w14:textId="77777777" w:rsidR="006A5AA3" w:rsidRPr="006A5AA3" w:rsidRDefault="006A5AA3" w:rsidP="00EF32E4">
            <w:pPr>
              <w:rPr>
                <w:rFonts w:ascii="Times New Roman" w:hAnsi="Times New Roman" w:cs="Times New Roman"/>
                <w:sz w:val="20"/>
                <w:szCs w:val="20"/>
              </w:rPr>
            </w:pPr>
          </w:p>
        </w:tc>
        <w:tc>
          <w:tcPr>
            <w:tcW w:w="6748" w:type="dxa"/>
            <w:gridSpan w:val="2"/>
            <w:tcBorders>
              <w:right w:val="single" w:sz="24" w:space="0" w:color="auto"/>
            </w:tcBorders>
          </w:tcPr>
          <w:p w14:paraId="315FE404" w14:textId="7DB37513"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rPr>
              <w:t>Yes, the authors searched the Cochrane Wounds register, CENTRAL, MEDLINE, Embase, and CINAHL. In addition, they searched the following trial registries: ClinicalTrials.gov, World Health Organization International Clinical Trials Registry Platform, and the European Union Trials Register.</w:t>
            </w:r>
          </w:p>
        </w:tc>
      </w:tr>
      <w:tr w:rsidR="006A5AA3" w:rsidRPr="006A5AA3" w14:paraId="3BC234CD" w14:textId="77777777" w:rsidTr="00EF32E4">
        <w:trPr>
          <w:trHeight w:val="305"/>
          <w:jc w:val="center"/>
        </w:trPr>
        <w:tc>
          <w:tcPr>
            <w:tcW w:w="3792" w:type="dxa"/>
            <w:tcBorders>
              <w:left w:val="single" w:sz="24" w:space="0" w:color="auto"/>
              <w:bottom w:val="single" w:sz="4" w:space="0" w:color="auto"/>
            </w:tcBorders>
          </w:tcPr>
          <w:p w14:paraId="162A0245"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Were the primary studies of high methodological quality?</w:t>
            </w:r>
          </w:p>
          <w:p w14:paraId="64A5D7DF" w14:textId="77777777" w:rsidR="006A5AA3" w:rsidRPr="006A5AA3" w:rsidRDefault="006A5AA3" w:rsidP="00EF32E4">
            <w:pPr>
              <w:rPr>
                <w:rFonts w:ascii="Times New Roman" w:hAnsi="Times New Roman" w:cs="Times New Roman"/>
                <w:sz w:val="20"/>
                <w:szCs w:val="20"/>
              </w:rPr>
            </w:pPr>
          </w:p>
        </w:tc>
        <w:tc>
          <w:tcPr>
            <w:tcW w:w="6748" w:type="dxa"/>
            <w:gridSpan w:val="2"/>
            <w:tcBorders>
              <w:bottom w:val="single" w:sz="4" w:space="0" w:color="auto"/>
              <w:right w:val="single" w:sz="24" w:space="0" w:color="auto"/>
            </w:tcBorders>
          </w:tcPr>
          <w:p w14:paraId="495778CD"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 xml:space="preserve">No studies had a low risk of </w:t>
            </w:r>
            <w:hyperlink r:id="rId16" w:history="1">
              <w:r w:rsidRPr="006A5AA3">
                <w:rPr>
                  <w:rStyle w:val="Hyperlink"/>
                  <w:rFonts w:ascii="Times New Roman" w:hAnsi="Times New Roman" w:cs="Times New Roman"/>
                  <w:sz w:val="20"/>
                  <w:szCs w:val="20"/>
                </w:rPr>
                <w:t>bias</w:t>
              </w:r>
            </w:hyperlink>
            <w:r w:rsidRPr="006A5AA3">
              <w:rPr>
                <w:rFonts w:ascii="Times New Roman" w:hAnsi="Times New Roman" w:cs="Times New Roman"/>
                <w:sz w:val="20"/>
                <w:szCs w:val="20"/>
              </w:rPr>
              <w:t xml:space="preserve"> for all domains. Only one study (</w:t>
            </w:r>
            <w:hyperlink r:id="rId17" w:history="1">
              <w:r w:rsidRPr="006A5AA3">
                <w:rPr>
                  <w:rStyle w:val="Hyperlink"/>
                  <w:rFonts w:ascii="Times New Roman" w:hAnsi="Times New Roman" w:cs="Times New Roman"/>
                  <w:sz w:val="20"/>
                  <w:szCs w:val="20"/>
                </w:rPr>
                <w:t>Tang 2015</w:t>
              </w:r>
            </w:hyperlink>
            <w:r w:rsidRPr="006A5AA3">
              <w:rPr>
                <w:rFonts w:ascii="Times New Roman" w:hAnsi="Times New Roman" w:cs="Times New Roman"/>
                <w:sz w:val="20"/>
                <w:szCs w:val="20"/>
              </w:rPr>
              <w:t>) was low risk of bias across all except one domain. All other studies had unclear or high risk of bias. For attrition bias and reporting bias the majority of studies were at low risk of bias, but for selection bias and detection bias the majority of studies were not at low risk of bias.</w:t>
            </w:r>
          </w:p>
        </w:tc>
      </w:tr>
      <w:tr w:rsidR="006A5AA3" w:rsidRPr="006A5AA3" w14:paraId="1AD4D1AC" w14:textId="77777777" w:rsidTr="00EF32E4">
        <w:trPr>
          <w:trHeight w:val="305"/>
          <w:jc w:val="center"/>
        </w:trPr>
        <w:tc>
          <w:tcPr>
            <w:tcW w:w="3792" w:type="dxa"/>
            <w:tcBorders>
              <w:left w:val="single" w:sz="24" w:space="0" w:color="auto"/>
              <w:bottom w:val="single" w:sz="4" w:space="0" w:color="auto"/>
            </w:tcBorders>
          </w:tcPr>
          <w:p w14:paraId="24707EA1" w14:textId="77777777" w:rsidR="006A5AA3" w:rsidRPr="006A5AA3" w:rsidRDefault="006A5AA3" w:rsidP="00EF32E4">
            <w:pPr>
              <w:rPr>
                <w:rFonts w:ascii="Times New Roman" w:hAnsi="Times New Roman" w:cs="Times New Roman"/>
              </w:rPr>
            </w:pPr>
            <w:r w:rsidRPr="006A5AA3">
              <w:rPr>
                <w:rFonts w:ascii="Times New Roman" w:hAnsi="Times New Roman" w:cs="Times New Roman"/>
              </w:rPr>
              <w:t>Were the assessments of the included studies reproducible?</w:t>
            </w:r>
          </w:p>
          <w:p w14:paraId="0AB6BE62" w14:textId="77777777" w:rsidR="006A5AA3" w:rsidRPr="006A5AA3" w:rsidRDefault="006A5AA3" w:rsidP="00EF32E4">
            <w:pPr>
              <w:rPr>
                <w:rFonts w:ascii="Times New Roman" w:hAnsi="Times New Roman" w:cs="Times New Roman"/>
              </w:rPr>
            </w:pPr>
          </w:p>
        </w:tc>
        <w:tc>
          <w:tcPr>
            <w:tcW w:w="6748" w:type="dxa"/>
            <w:gridSpan w:val="2"/>
            <w:tcBorders>
              <w:bottom w:val="single" w:sz="4" w:space="0" w:color="auto"/>
              <w:right w:val="single" w:sz="24" w:space="0" w:color="auto"/>
            </w:tcBorders>
          </w:tcPr>
          <w:p w14:paraId="1FB26B8D"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 xml:space="preserve">Probably. The authors use the </w:t>
            </w:r>
            <w:hyperlink r:id="rId18" w:history="1">
              <w:r w:rsidRPr="006A5AA3">
                <w:rPr>
                  <w:rStyle w:val="Hyperlink"/>
                  <w:rFonts w:ascii="Times New Roman" w:hAnsi="Times New Roman" w:cs="Times New Roman"/>
                  <w:sz w:val="20"/>
                  <w:szCs w:val="20"/>
                </w:rPr>
                <w:t>Cochrane Risk of Bias tool</w:t>
              </w:r>
            </w:hyperlink>
            <w:r w:rsidRPr="006A5AA3">
              <w:rPr>
                <w:rFonts w:ascii="Times New Roman" w:hAnsi="Times New Roman" w:cs="Times New Roman"/>
                <w:sz w:val="20"/>
                <w:szCs w:val="20"/>
              </w:rPr>
              <w:t>, but do not report quantitative reproducibility between raters (</w:t>
            </w:r>
            <w:hyperlink r:id="rId19" w:history="1">
              <w:r w:rsidRPr="006A5AA3">
                <w:rPr>
                  <w:rStyle w:val="Hyperlink"/>
                  <w:rFonts w:ascii="Times New Roman" w:hAnsi="Times New Roman" w:cs="Times New Roman"/>
                  <w:sz w:val="20"/>
                  <w:szCs w:val="20"/>
                </w:rPr>
                <w:t>kappa</w:t>
              </w:r>
            </w:hyperlink>
            <w:r w:rsidRPr="006A5AA3">
              <w:rPr>
                <w:rFonts w:ascii="Times New Roman" w:hAnsi="Times New Roman" w:cs="Times New Roman"/>
                <w:sz w:val="20"/>
                <w:szCs w:val="20"/>
              </w:rPr>
              <w:t xml:space="preserve">). The Cochrane authors also fail to identify the individuals conducting the </w:t>
            </w:r>
            <w:hyperlink r:id="rId20" w:history="1">
              <w:r w:rsidRPr="006A5AA3">
                <w:rPr>
                  <w:rStyle w:val="Hyperlink"/>
                  <w:rFonts w:ascii="Times New Roman" w:hAnsi="Times New Roman" w:cs="Times New Roman"/>
                  <w:sz w:val="20"/>
                  <w:szCs w:val="20"/>
                </w:rPr>
                <w:t>GRADE</w:t>
              </w:r>
            </w:hyperlink>
            <w:r w:rsidRPr="006A5AA3">
              <w:rPr>
                <w:rFonts w:ascii="Times New Roman" w:hAnsi="Times New Roman" w:cs="Times New Roman"/>
                <w:sz w:val="20"/>
                <w:szCs w:val="20"/>
              </w:rPr>
              <w:t xml:space="preserve"> assessments, nor their level of training in using GRADE. (p 21)</w:t>
            </w:r>
          </w:p>
        </w:tc>
      </w:tr>
      <w:tr w:rsidR="006A5AA3" w:rsidRPr="006A5AA3" w14:paraId="4F133FAE" w14:textId="77777777" w:rsidTr="00EF32E4">
        <w:trPr>
          <w:trHeight w:val="354"/>
          <w:jc w:val="center"/>
        </w:trPr>
        <w:tc>
          <w:tcPr>
            <w:tcW w:w="10540" w:type="dxa"/>
            <w:gridSpan w:val="3"/>
            <w:tcBorders>
              <w:top w:val="single" w:sz="24" w:space="0" w:color="auto"/>
              <w:left w:val="single" w:sz="24" w:space="0" w:color="auto"/>
              <w:right w:val="single" w:sz="24" w:space="0" w:color="auto"/>
            </w:tcBorders>
            <w:vAlign w:val="center"/>
          </w:tcPr>
          <w:p w14:paraId="717C77F7" w14:textId="77777777" w:rsidR="006A5AA3" w:rsidRPr="006A5AA3" w:rsidRDefault="006A5AA3" w:rsidP="00EF32E4">
            <w:pPr>
              <w:jc w:val="center"/>
              <w:rPr>
                <w:rFonts w:ascii="Times New Roman" w:hAnsi="Times New Roman" w:cs="Times New Roman"/>
                <w:b/>
                <w:sz w:val="28"/>
                <w:szCs w:val="28"/>
              </w:rPr>
            </w:pPr>
            <w:r w:rsidRPr="006A5AA3">
              <w:rPr>
                <w:rFonts w:ascii="Times New Roman" w:hAnsi="Times New Roman" w:cs="Times New Roman"/>
                <w:b/>
                <w:sz w:val="28"/>
                <w:szCs w:val="28"/>
              </w:rPr>
              <w:t>What are the results?</w:t>
            </w:r>
          </w:p>
        </w:tc>
      </w:tr>
      <w:tr w:rsidR="006A5AA3" w:rsidRPr="006A5AA3" w14:paraId="4150BEB0" w14:textId="77777777" w:rsidTr="00EF32E4">
        <w:trPr>
          <w:trHeight w:val="367"/>
          <w:jc w:val="center"/>
        </w:trPr>
        <w:tc>
          <w:tcPr>
            <w:tcW w:w="3817" w:type="dxa"/>
            <w:gridSpan w:val="2"/>
            <w:tcBorders>
              <w:left w:val="single" w:sz="24" w:space="0" w:color="auto"/>
            </w:tcBorders>
          </w:tcPr>
          <w:p w14:paraId="307EE747"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What are the overall results of the study?</w:t>
            </w:r>
          </w:p>
          <w:p w14:paraId="0F7B6C4F" w14:textId="77777777" w:rsidR="006A5AA3" w:rsidRPr="006A5AA3" w:rsidRDefault="006A5AA3" w:rsidP="00EF32E4">
            <w:pPr>
              <w:rPr>
                <w:rFonts w:ascii="Times New Roman" w:hAnsi="Times New Roman" w:cs="Times New Roman"/>
                <w:sz w:val="20"/>
                <w:szCs w:val="20"/>
              </w:rPr>
            </w:pPr>
          </w:p>
          <w:p w14:paraId="0CF6BA31" w14:textId="77777777" w:rsidR="006A5AA3" w:rsidRPr="006A5AA3" w:rsidRDefault="006A5AA3" w:rsidP="00EF32E4">
            <w:pPr>
              <w:rPr>
                <w:rFonts w:ascii="Times New Roman" w:hAnsi="Times New Roman" w:cs="Times New Roman"/>
                <w:sz w:val="20"/>
                <w:szCs w:val="20"/>
              </w:rPr>
            </w:pPr>
          </w:p>
          <w:p w14:paraId="705192B6" w14:textId="77777777" w:rsidR="006A5AA3" w:rsidRPr="006A5AA3" w:rsidRDefault="006A5AA3" w:rsidP="00EF32E4">
            <w:pPr>
              <w:rPr>
                <w:rFonts w:ascii="Times New Roman" w:hAnsi="Times New Roman" w:cs="Times New Roman"/>
                <w:sz w:val="20"/>
                <w:szCs w:val="20"/>
              </w:rPr>
            </w:pPr>
          </w:p>
        </w:tc>
        <w:tc>
          <w:tcPr>
            <w:tcW w:w="6723" w:type="dxa"/>
            <w:tcBorders>
              <w:right w:val="single" w:sz="24" w:space="0" w:color="auto"/>
            </w:tcBorders>
          </w:tcPr>
          <w:p w14:paraId="047630B4"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sz w:val="20"/>
                <w:szCs w:val="20"/>
              </w:rPr>
              <w:t>The authors included 56 studies reported in 66 publications totaling 5807 randomized participants in their qualitative synthesis. They included 44 studies in the quantitative synthesis (meta-analysis). (p. 24)</w:t>
            </w:r>
          </w:p>
          <w:p w14:paraId="4537221D"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Silver-based dressings</w:t>
            </w:r>
            <w:r w:rsidRPr="006A5AA3">
              <w:rPr>
                <w:rFonts w:ascii="Times New Roman" w:hAnsi="Times New Roman" w:cs="Times New Roman"/>
                <w:sz w:val="20"/>
                <w:szCs w:val="20"/>
              </w:rPr>
              <w:t xml:space="preserve"> (silver foam, silver hydrogel, silver alginate, </w:t>
            </w:r>
            <w:proofErr w:type="spellStart"/>
            <w:r w:rsidRPr="006A5AA3">
              <w:rPr>
                <w:rFonts w:ascii="Times New Roman" w:hAnsi="Times New Roman" w:cs="Times New Roman"/>
                <w:sz w:val="20"/>
                <w:szCs w:val="20"/>
              </w:rPr>
              <w:t>nanocrystaline</w:t>
            </w:r>
            <w:proofErr w:type="spellEnd"/>
            <w:r w:rsidRPr="006A5AA3">
              <w:rPr>
                <w:rFonts w:ascii="Times New Roman" w:hAnsi="Times New Roman" w:cs="Times New Roman"/>
                <w:sz w:val="20"/>
                <w:szCs w:val="20"/>
              </w:rPr>
              <w:t xml:space="preserve"> silver, silver </w:t>
            </w:r>
            <w:proofErr w:type="spellStart"/>
            <w:r w:rsidRPr="006A5AA3">
              <w:rPr>
                <w:rFonts w:ascii="Times New Roman" w:hAnsi="Times New Roman" w:cs="Times New Roman"/>
                <w:sz w:val="20"/>
                <w:szCs w:val="20"/>
              </w:rPr>
              <w:t>hydrofiber</w:t>
            </w:r>
            <w:proofErr w:type="spellEnd"/>
            <w:r w:rsidRPr="006A5AA3">
              <w:rPr>
                <w:rFonts w:ascii="Times New Roman" w:hAnsi="Times New Roman" w:cs="Times New Roman"/>
                <w:sz w:val="20"/>
                <w:szCs w:val="20"/>
              </w:rPr>
              <w:t xml:space="preserve">) are not more effective than </w:t>
            </w:r>
            <w:r w:rsidRPr="006A5AA3">
              <w:rPr>
                <w:rFonts w:ascii="Times New Roman" w:hAnsi="Times New Roman" w:cs="Times New Roman"/>
                <w:b/>
                <w:sz w:val="20"/>
                <w:szCs w:val="20"/>
              </w:rPr>
              <w:t xml:space="preserve">silver sulfadiazine </w:t>
            </w:r>
            <w:r w:rsidRPr="006A5AA3">
              <w:rPr>
                <w:rFonts w:ascii="Times New Roman" w:hAnsi="Times New Roman" w:cs="Times New Roman"/>
                <w:sz w:val="20"/>
                <w:szCs w:val="20"/>
              </w:rPr>
              <w:t>for time to complete healing (3 RCTs, low certainty, HR 1.25; 95% CI 0.94-1.67), but heal wounds on average 3.3 days faster (10 RCTs, low certainty). No difference in adverse effects and effect on infections is uncertain.</w:t>
            </w:r>
          </w:p>
          <w:p w14:paraId="6F247944"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 xml:space="preserve">Honey </w:t>
            </w:r>
            <w:r w:rsidRPr="006A5AA3">
              <w:rPr>
                <w:rFonts w:ascii="Times New Roman" w:hAnsi="Times New Roman" w:cs="Times New Roman"/>
                <w:sz w:val="20"/>
                <w:szCs w:val="20"/>
              </w:rPr>
              <w:t xml:space="preserve">(variously described as pure, undiluted or unprocessed) is more effective than </w:t>
            </w:r>
            <w:r w:rsidRPr="006A5AA3">
              <w:rPr>
                <w:rFonts w:ascii="Times New Roman" w:hAnsi="Times New Roman" w:cs="Times New Roman"/>
                <w:b/>
                <w:sz w:val="20"/>
                <w:szCs w:val="20"/>
              </w:rPr>
              <w:t>topical antibiotics</w:t>
            </w:r>
            <w:r w:rsidRPr="006A5AA3">
              <w:rPr>
                <w:rFonts w:ascii="Times New Roman" w:hAnsi="Times New Roman" w:cs="Times New Roman"/>
                <w:sz w:val="20"/>
                <w:szCs w:val="20"/>
              </w:rPr>
              <w:t xml:space="preserve"> (silver sulfadiazine in 8/9 studies) to promote wound healing (5 RCTs, HR 2.45; 95% CI 1.71-3.52, moderate certainty) and heals wounds on average 3.8 days faster (6 RCTs, very low certainty). The effects on treating or preventing infections are uncertain.</w:t>
            </w:r>
          </w:p>
          <w:p w14:paraId="654D1186"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Aloe vera</w:t>
            </w:r>
            <w:r w:rsidRPr="006A5AA3">
              <w:rPr>
                <w:rFonts w:ascii="Times New Roman" w:hAnsi="Times New Roman" w:cs="Times New Roman"/>
                <w:sz w:val="20"/>
                <w:szCs w:val="20"/>
              </w:rPr>
              <w:t xml:space="preserve"> has inadequate evidence to understand effect on wound healing, infection rates, or adverse events when compared with </w:t>
            </w:r>
            <w:r w:rsidRPr="006A5AA3">
              <w:rPr>
                <w:rFonts w:ascii="Times New Roman" w:hAnsi="Times New Roman" w:cs="Times New Roman"/>
                <w:b/>
                <w:sz w:val="20"/>
                <w:szCs w:val="20"/>
              </w:rPr>
              <w:t>topical antibiotics</w:t>
            </w:r>
            <w:r w:rsidRPr="006A5AA3">
              <w:rPr>
                <w:rFonts w:ascii="Times New Roman" w:hAnsi="Times New Roman" w:cs="Times New Roman"/>
                <w:sz w:val="20"/>
                <w:szCs w:val="20"/>
              </w:rPr>
              <w:t xml:space="preserve"> (very low certainty).</w:t>
            </w:r>
          </w:p>
          <w:p w14:paraId="58A62A34"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Iodine</w:t>
            </w:r>
            <w:r w:rsidRPr="006A5AA3">
              <w:rPr>
                <w:rFonts w:ascii="Times New Roman" w:hAnsi="Times New Roman" w:cs="Times New Roman"/>
                <w:sz w:val="20"/>
                <w:szCs w:val="20"/>
              </w:rPr>
              <w:t xml:space="preserve"> has inadequate evidence to understand effect on wound healing, infection, or adverse events when compared with </w:t>
            </w:r>
            <w:r w:rsidRPr="006A5AA3">
              <w:rPr>
                <w:rFonts w:ascii="Times New Roman" w:hAnsi="Times New Roman" w:cs="Times New Roman"/>
                <w:b/>
                <w:sz w:val="20"/>
                <w:szCs w:val="20"/>
              </w:rPr>
              <w:t>topical antibiotics</w:t>
            </w:r>
            <w:r w:rsidRPr="006A5AA3">
              <w:rPr>
                <w:rFonts w:ascii="Times New Roman" w:hAnsi="Times New Roman" w:cs="Times New Roman"/>
                <w:sz w:val="20"/>
                <w:szCs w:val="20"/>
              </w:rPr>
              <w:t xml:space="preserve"> (very low certainty).</w:t>
            </w:r>
          </w:p>
          <w:p w14:paraId="79ADF5A3"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Silver-based dressings</w:t>
            </w:r>
            <w:r w:rsidRPr="006A5AA3">
              <w:rPr>
                <w:rFonts w:ascii="Times New Roman" w:hAnsi="Times New Roman" w:cs="Times New Roman"/>
                <w:sz w:val="20"/>
                <w:szCs w:val="20"/>
              </w:rPr>
              <w:t xml:space="preserve"> heal on average 3.5 days faster than </w:t>
            </w:r>
            <w:r w:rsidRPr="006A5AA3">
              <w:rPr>
                <w:rFonts w:ascii="Times New Roman" w:hAnsi="Times New Roman" w:cs="Times New Roman"/>
                <w:b/>
                <w:sz w:val="20"/>
                <w:szCs w:val="20"/>
              </w:rPr>
              <w:t>silver xenograft or petroleum gauze</w:t>
            </w:r>
            <w:r w:rsidRPr="006A5AA3">
              <w:rPr>
                <w:rFonts w:ascii="Times New Roman" w:hAnsi="Times New Roman" w:cs="Times New Roman"/>
                <w:sz w:val="20"/>
                <w:szCs w:val="20"/>
              </w:rPr>
              <w:t xml:space="preserve"> dressings (2 RCTs, moderate certainty).</w:t>
            </w:r>
          </w:p>
          <w:p w14:paraId="21B56BDF"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 xml:space="preserve">Honey-based dressings </w:t>
            </w:r>
            <w:r w:rsidRPr="006A5AA3">
              <w:rPr>
                <w:rFonts w:ascii="Times New Roman" w:hAnsi="Times New Roman" w:cs="Times New Roman"/>
                <w:sz w:val="20"/>
                <w:szCs w:val="20"/>
              </w:rPr>
              <w:t xml:space="preserve">(honey soaked gauze) are more likely than </w:t>
            </w:r>
            <w:r w:rsidRPr="006A5AA3">
              <w:rPr>
                <w:rFonts w:ascii="Times New Roman" w:hAnsi="Times New Roman" w:cs="Times New Roman"/>
                <w:b/>
                <w:sz w:val="20"/>
                <w:szCs w:val="20"/>
              </w:rPr>
              <w:t>non-antibacterial dressings/topical treatments</w:t>
            </w:r>
            <w:r w:rsidRPr="006A5AA3">
              <w:rPr>
                <w:rFonts w:ascii="Times New Roman" w:hAnsi="Times New Roman" w:cs="Times New Roman"/>
                <w:sz w:val="20"/>
                <w:szCs w:val="20"/>
              </w:rPr>
              <w:t xml:space="preserve"> (bio-occlusive, moisture-permeable polyurethane dressing) to promote complete wound healing (2 RCTs, HR 2.86; 95% CI 1.6-5.1, moderate certainty) and on average wounds heal 5.3 days faster (4 RCTs, high certainty). The effects on infection prevention or treatment are uncertain.</w:t>
            </w:r>
          </w:p>
          <w:p w14:paraId="47F81504"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b/>
                <w:sz w:val="20"/>
                <w:szCs w:val="20"/>
              </w:rPr>
              <w:t xml:space="preserve">Chlorhexidine </w:t>
            </w:r>
            <w:r w:rsidRPr="006A5AA3">
              <w:rPr>
                <w:rFonts w:ascii="Times New Roman" w:hAnsi="Times New Roman" w:cs="Times New Roman"/>
                <w:sz w:val="20"/>
                <w:szCs w:val="20"/>
              </w:rPr>
              <w:t xml:space="preserve">increases the time to wound healing by on average 4 days compared with </w:t>
            </w:r>
            <w:r w:rsidRPr="006A5AA3">
              <w:rPr>
                <w:rFonts w:ascii="Times New Roman" w:hAnsi="Times New Roman" w:cs="Times New Roman"/>
                <w:b/>
                <w:sz w:val="20"/>
                <w:szCs w:val="20"/>
              </w:rPr>
              <w:t>non-antibacterial dressings</w:t>
            </w:r>
            <w:r w:rsidRPr="006A5AA3">
              <w:rPr>
                <w:rFonts w:ascii="Times New Roman" w:hAnsi="Times New Roman" w:cs="Times New Roman"/>
                <w:sz w:val="20"/>
                <w:szCs w:val="20"/>
              </w:rPr>
              <w:t xml:space="preserve"> (1 RCT, low certainty). The effects on infection are uncertain.</w:t>
            </w:r>
          </w:p>
          <w:p w14:paraId="134B0D7A" w14:textId="77777777" w:rsidR="006A5AA3" w:rsidRPr="006A5AA3" w:rsidRDefault="006A5AA3" w:rsidP="00EF32E4">
            <w:pPr>
              <w:pStyle w:val="ListParagraph"/>
              <w:numPr>
                <w:ilvl w:val="0"/>
                <w:numId w:val="4"/>
              </w:numPr>
              <w:rPr>
                <w:rFonts w:ascii="Times New Roman" w:hAnsi="Times New Roman" w:cs="Times New Roman"/>
                <w:sz w:val="20"/>
                <w:szCs w:val="20"/>
              </w:rPr>
            </w:pPr>
            <w:r w:rsidRPr="006A5AA3">
              <w:rPr>
                <w:rFonts w:ascii="Times New Roman" w:hAnsi="Times New Roman" w:cs="Times New Roman"/>
                <w:sz w:val="20"/>
                <w:szCs w:val="20"/>
              </w:rPr>
              <w:t>Iodine-based treatments increases average time to wound healing by 5.4 days compared with carbon fiber (1 RCT, very low certainty), but decreases wound healing by 26 days compared with moist exposed burn ointment.</w:t>
            </w:r>
          </w:p>
        </w:tc>
      </w:tr>
      <w:tr w:rsidR="006A5AA3" w:rsidRPr="006A5AA3" w14:paraId="766509F3" w14:textId="77777777" w:rsidTr="00EF32E4">
        <w:trPr>
          <w:trHeight w:val="367"/>
          <w:jc w:val="center"/>
        </w:trPr>
        <w:tc>
          <w:tcPr>
            <w:tcW w:w="3817" w:type="dxa"/>
            <w:gridSpan w:val="2"/>
            <w:tcBorders>
              <w:left w:val="single" w:sz="24" w:space="0" w:color="auto"/>
            </w:tcBorders>
          </w:tcPr>
          <w:p w14:paraId="51B036B6" w14:textId="77777777" w:rsidR="006A5AA3" w:rsidRPr="006A5AA3" w:rsidRDefault="006A5AA3" w:rsidP="00EF32E4">
            <w:pPr>
              <w:rPr>
                <w:rFonts w:ascii="Times New Roman" w:hAnsi="Times New Roman" w:cs="Times New Roman"/>
              </w:rPr>
            </w:pPr>
            <w:r w:rsidRPr="006A5AA3">
              <w:rPr>
                <w:rFonts w:ascii="Times New Roman" w:hAnsi="Times New Roman" w:cs="Times New Roman"/>
              </w:rPr>
              <w:lastRenderedPageBreak/>
              <w:t>How precise are the results?</w:t>
            </w:r>
          </w:p>
          <w:p w14:paraId="702FB69C" w14:textId="77777777" w:rsidR="006A5AA3" w:rsidRPr="006A5AA3" w:rsidRDefault="006A5AA3" w:rsidP="00EF32E4">
            <w:pPr>
              <w:rPr>
                <w:rFonts w:ascii="Times New Roman" w:hAnsi="Times New Roman" w:cs="Times New Roman"/>
              </w:rPr>
            </w:pPr>
          </w:p>
        </w:tc>
        <w:tc>
          <w:tcPr>
            <w:tcW w:w="6723" w:type="dxa"/>
            <w:tcBorders>
              <w:right w:val="single" w:sz="24" w:space="0" w:color="auto"/>
            </w:tcBorders>
          </w:tcPr>
          <w:p w14:paraId="717D7E59"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Sufficiently precise for some treatments for some outcomes. See 95% CI above</w:t>
            </w:r>
          </w:p>
        </w:tc>
      </w:tr>
      <w:tr w:rsidR="006A5AA3" w:rsidRPr="006A5AA3" w14:paraId="51B869C0" w14:textId="77777777" w:rsidTr="00EF32E4">
        <w:trPr>
          <w:trHeight w:val="367"/>
          <w:jc w:val="center"/>
        </w:trPr>
        <w:tc>
          <w:tcPr>
            <w:tcW w:w="3817" w:type="dxa"/>
            <w:gridSpan w:val="2"/>
            <w:tcBorders>
              <w:left w:val="single" w:sz="24" w:space="0" w:color="auto"/>
            </w:tcBorders>
          </w:tcPr>
          <w:p w14:paraId="1D3BA597" w14:textId="77777777" w:rsidR="006A5AA3" w:rsidRPr="006A5AA3" w:rsidRDefault="006A5AA3" w:rsidP="00EF32E4">
            <w:pPr>
              <w:rPr>
                <w:rFonts w:ascii="Times New Roman" w:hAnsi="Times New Roman" w:cs="Times New Roman"/>
              </w:rPr>
            </w:pPr>
            <w:r w:rsidRPr="006A5AA3">
              <w:rPr>
                <w:rFonts w:ascii="Times New Roman" w:hAnsi="Times New Roman" w:cs="Times New Roman"/>
              </w:rPr>
              <w:t>Were the results similar from study to study?</w:t>
            </w:r>
          </w:p>
        </w:tc>
        <w:tc>
          <w:tcPr>
            <w:tcW w:w="6723" w:type="dxa"/>
            <w:tcBorders>
              <w:right w:val="single" w:sz="24" w:space="0" w:color="auto"/>
            </w:tcBorders>
          </w:tcPr>
          <w:p w14:paraId="144C6481"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Not consistently because the original studies tested different treatments and assessed outcomes using self-defined measures. Therefore, in some instances meta-analysis was not possible.</w:t>
            </w:r>
          </w:p>
        </w:tc>
      </w:tr>
      <w:tr w:rsidR="006A5AA3" w:rsidRPr="006A5AA3" w14:paraId="4EE6529C" w14:textId="77777777" w:rsidTr="00EF32E4">
        <w:trPr>
          <w:trHeight w:val="354"/>
          <w:jc w:val="center"/>
        </w:trPr>
        <w:tc>
          <w:tcPr>
            <w:tcW w:w="10540" w:type="dxa"/>
            <w:gridSpan w:val="3"/>
            <w:tcBorders>
              <w:top w:val="single" w:sz="24" w:space="0" w:color="auto"/>
              <w:left w:val="single" w:sz="24" w:space="0" w:color="auto"/>
              <w:right w:val="single" w:sz="24" w:space="0" w:color="auto"/>
            </w:tcBorders>
            <w:vAlign w:val="center"/>
          </w:tcPr>
          <w:p w14:paraId="2ABDD021" w14:textId="77777777" w:rsidR="006A5AA3" w:rsidRPr="006A5AA3" w:rsidRDefault="006A5AA3" w:rsidP="00EF32E4">
            <w:pPr>
              <w:jc w:val="center"/>
              <w:rPr>
                <w:rFonts w:ascii="Times New Roman" w:hAnsi="Times New Roman" w:cs="Times New Roman"/>
                <w:b/>
                <w:sz w:val="28"/>
                <w:szCs w:val="28"/>
              </w:rPr>
            </w:pPr>
            <w:r w:rsidRPr="006A5AA3">
              <w:rPr>
                <w:rFonts w:ascii="Times New Roman" w:hAnsi="Times New Roman" w:cs="Times New Roman"/>
                <w:b/>
                <w:sz w:val="28"/>
                <w:szCs w:val="28"/>
              </w:rPr>
              <w:t>Will the results help me in caring for my patients?</w:t>
            </w:r>
          </w:p>
        </w:tc>
      </w:tr>
      <w:tr w:rsidR="006A5AA3" w:rsidRPr="006A5AA3" w14:paraId="6591568F" w14:textId="77777777" w:rsidTr="00EF32E4">
        <w:trPr>
          <w:trHeight w:val="367"/>
          <w:jc w:val="center"/>
        </w:trPr>
        <w:tc>
          <w:tcPr>
            <w:tcW w:w="3817" w:type="dxa"/>
            <w:gridSpan w:val="2"/>
            <w:tcBorders>
              <w:left w:val="single" w:sz="24" w:space="0" w:color="auto"/>
            </w:tcBorders>
          </w:tcPr>
          <w:p w14:paraId="74FC1597"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How can I best interpret the results to apply them to the care of my patients?</w:t>
            </w:r>
          </w:p>
          <w:p w14:paraId="05D549C7" w14:textId="77777777" w:rsidR="006A5AA3" w:rsidRPr="006A5AA3" w:rsidRDefault="006A5AA3" w:rsidP="00EF32E4">
            <w:pPr>
              <w:rPr>
                <w:rFonts w:ascii="Times New Roman" w:hAnsi="Times New Roman" w:cs="Times New Roman"/>
                <w:sz w:val="20"/>
                <w:szCs w:val="20"/>
              </w:rPr>
            </w:pPr>
          </w:p>
          <w:p w14:paraId="627C1DF3" w14:textId="77777777" w:rsidR="006A5AA3" w:rsidRPr="006A5AA3" w:rsidRDefault="006A5AA3" w:rsidP="00EF32E4">
            <w:pPr>
              <w:rPr>
                <w:rFonts w:ascii="Times New Roman" w:hAnsi="Times New Roman" w:cs="Times New Roman"/>
                <w:sz w:val="20"/>
                <w:szCs w:val="20"/>
              </w:rPr>
            </w:pPr>
          </w:p>
        </w:tc>
        <w:tc>
          <w:tcPr>
            <w:tcW w:w="6723" w:type="dxa"/>
            <w:tcBorders>
              <w:right w:val="single" w:sz="24" w:space="0" w:color="auto"/>
            </w:tcBorders>
          </w:tcPr>
          <w:p w14:paraId="4E95D821"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 xml:space="preserve">Evidence of benefit for atypical (and generally unavailable) topical treatments like honey exist with moderate certainty. More commonly used burn topical therapies like silver sulfadiazine do not appear superior to silver-impregnated dressings, iodine, or non-adhesive petroleum gauze except perhaps in time to wound healing. </w:t>
            </w:r>
          </w:p>
        </w:tc>
      </w:tr>
      <w:tr w:rsidR="006A5AA3" w:rsidRPr="006A5AA3" w14:paraId="349CC6E2" w14:textId="77777777" w:rsidTr="00EF32E4">
        <w:trPr>
          <w:trHeight w:val="367"/>
          <w:jc w:val="center"/>
        </w:trPr>
        <w:tc>
          <w:tcPr>
            <w:tcW w:w="3817" w:type="dxa"/>
            <w:gridSpan w:val="2"/>
            <w:tcBorders>
              <w:left w:val="single" w:sz="24" w:space="0" w:color="auto"/>
            </w:tcBorders>
          </w:tcPr>
          <w:p w14:paraId="13B28D5C"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Were all patient important outcomes considered?</w:t>
            </w:r>
          </w:p>
          <w:p w14:paraId="43E5BAFE" w14:textId="77777777" w:rsidR="006A5AA3" w:rsidRPr="006A5AA3" w:rsidRDefault="006A5AA3" w:rsidP="00EF32E4">
            <w:pPr>
              <w:rPr>
                <w:rFonts w:ascii="Times New Roman" w:hAnsi="Times New Roman" w:cs="Times New Roman"/>
                <w:sz w:val="20"/>
                <w:szCs w:val="20"/>
              </w:rPr>
            </w:pPr>
          </w:p>
          <w:p w14:paraId="5F43816E" w14:textId="77777777" w:rsidR="006A5AA3" w:rsidRPr="006A5AA3" w:rsidRDefault="006A5AA3" w:rsidP="00EF32E4">
            <w:pPr>
              <w:rPr>
                <w:rFonts w:ascii="Times New Roman" w:hAnsi="Times New Roman" w:cs="Times New Roman"/>
                <w:sz w:val="20"/>
                <w:szCs w:val="20"/>
              </w:rPr>
            </w:pPr>
          </w:p>
        </w:tc>
        <w:tc>
          <w:tcPr>
            <w:tcW w:w="6723" w:type="dxa"/>
            <w:tcBorders>
              <w:right w:val="single" w:sz="24" w:space="0" w:color="auto"/>
            </w:tcBorders>
          </w:tcPr>
          <w:p w14:paraId="3BC94D07"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Unfortunately, although the authors planned to evaluate pain and health-related quality of life, there studies did not address these patient-centric outcomes. Cost comparisons between these different topical agents would also add value for patients and society.</w:t>
            </w:r>
          </w:p>
        </w:tc>
      </w:tr>
      <w:tr w:rsidR="006A5AA3" w:rsidRPr="006A5AA3" w14:paraId="0819C1CA" w14:textId="77777777" w:rsidTr="00EF32E4">
        <w:trPr>
          <w:trHeight w:val="354"/>
          <w:jc w:val="center"/>
        </w:trPr>
        <w:tc>
          <w:tcPr>
            <w:tcW w:w="3817" w:type="dxa"/>
            <w:gridSpan w:val="2"/>
            <w:tcBorders>
              <w:left w:val="single" w:sz="24" w:space="0" w:color="auto"/>
              <w:bottom w:val="single" w:sz="24" w:space="0" w:color="auto"/>
            </w:tcBorders>
          </w:tcPr>
          <w:p w14:paraId="7D868E8F"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rPr>
              <w:t>Are the benefits worth the costs and potential risks?</w:t>
            </w:r>
          </w:p>
          <w:p w14:paraId="2E180893" w14:textId="77777777" w:rsidR="006A5AA3" w:rsidRPr="006A5AA3" w:rsidRDefault="006A5AA3" w:rsidP="00EF32E4">
            <w:pPr>
              <w:rPr>
                <w:rFonts w:ascii="Times New Roman" w:hAnsi="Times New Roman" w:cs="Times New Roman"/>
                <w:sz w:val="20"/>
                <w:szCs w:val="20"/>
              </w:rPr>
            </w:pPr>
          </w:p>
        </w:tc>
        <w:tc>
          <w:tcPr>
            <w:tcW w:w="6723" w:type="dxa"/>
            <w:tcBorders>
              <w:bottom w:val="single" w:sz="24" w:space="0" w:color="auto"/>
              <w:right w:val="single" w:sz="24" w:space="0" w:color="auto"/>
            </w:tcBorders>
          </w:tcPr>
          <w:p w14:paraId="6B0DB65B" w14:textId="77777777" w:rsidR="006A5AA3" w:rsidRPr="006A5AA3" w:rsidRDefault="006A5AA3" w:rsidP="00EF32E4">
            <w:pPr>
              <w:rPr>
                <w:rFonts w:ascii="Times New Roman" w:hAnsi="Times New Roman" w:cs="Times New Roman"/>
                <w:sz w:val="20"/>
                <w:szCs w:val="20"/>
              </w:rPr>
            </w:pPr>
            <w:r w:rsidRPr="006A5AA3">
              <w:rPr>
                <w:rFonts w:ascii="Times New Roman" w:hAnsi="Times New Roman" w:cs="Times New Roman"/>
                <w:sz w:val="20"/>
                <w:szCs w:val="20"/>
              </w:rPr>
              <w:t>Uncertain based upon the available studies.</w:t>
            </w:r>
          </w:p>
        </w:tc>
      </w:tr>
    </w:tbl>
    <w:p w14:paraId="247A512E" w14:textId="77777777" w:rsidR="007921B8" w:rsidRDefault="007921B8" w:rsidP="007921B8">
      <w:pPr>
        <w:rPr>
          <w:rFonts w:ascii="Times New Roman" w:hAnsi="Times New Roman" w:cs="Times New Roman"/>
        </w:rPr>
      </w:pPr>
    </w:p>
    <w:p w14:paraId="32398B1A" w14:textId="48D4BD98" w:rsidR="006275FD" w:rsidRPr="007921B8" w:rsidRDefault="000552FF" w:rsidP="007921B8">
      <w:pPr>
        <w:rPr>
          <w:rFonts w:ascii="Times New Roman" w:hAnsi="Times New Roman" w:cs="Times New Roman"/>
        </w:rPr>
      </w:pPr>
      <w:r w:rsidRPr="006A5AA3">
        <w:rPr>
          <w:rFonts w:ascii="Times New Roman" w:hAnsi="Times New Roman" w:cs="Times New Roman"/>
          <w:b/>
          <w:bCs/>
          <w:sz w:val="28"/>
          <w:szCs w:val="28"/>
          <w:u w:val="single"/>
        </w:rPr>
        <w:t>Limitations:</w:t>
      </w:r>
    </w:p>
    <w:p w14:paraId="649A2675" w14:textId="77777777" w:rsidR="006275FD" w:rsidRPr="006A5AA3" w:rsidRDefault="006275FD" w:rsidP="009D48A2">
      <w:pPr>
        <w:pStyle w:val="ListParagraph"/>
        <w:numPr>
          <w:ilvl w:val="0"/>
          <w:numId w:val="5"/>
        </w:num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Heterogeneous interventions evaluated, some using topical agents not typically used or readily available in today’s ED.</w:t>
      </w:r>
    </w:p>
    <w:p w14:paraId="08C23152" w14:textId="77777777" w:rsidR="006275FD" w:rsidRPr="006A5AA3" w:rsidRDefault="006275FD" w:rsidP="009D48A2">
      <w:pPr>
        <w:pStyle w:val="ListParagraph"/>
        <w:numPr>
          <w:ilvl w:val="0"/>
          <w:numId w:val="5"/>
        </w:num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Inadequate studies to evaluate pre-planned subgroup analyses (age, burn severity), costs, or patient-centric outcomes</w:t>
      </w:r>
      <w:r w:rsidR="005041C3" w:rsidRPr="006A5AA3">
        <w:rPr>
          <w:rFonts w:ascii="Times New Roman" w:hAnsi="Times New Roman" w:cs="Times New Roman"/>
          <w:b/>
          <w:bCs/>
          <w:sz w:val="28"/>
          <w:szCs w:val="28"/>
        </w:rPr>
        <w:t xml:space="preserve"> (pain, wound appearance)</w:t>
      </w:r>
      <w:r w:rsidRPr="006A5AA3">
        <w:rPr>
          <w:rFonts w:ascii="Times New Roman" w:hAnsi="Times New Roman" w:cs="Times New Roman"/>
          <w:b/>
          <w:bCs/>
          <w:sz w:val="28"/>
          <w:szCs w:val="28"/>
        </w:rPr>
        <w:t>.</w:t>
      </w:r>
    </w:p>
    <w:p w14:paraId="7738DA8B" w14:textId="157A56C0" w:rsidR="000552FF" w:rsidRPr="006A5AA3" w:rsidRDefault="006275FD" w:rsidP="009D48A2">
      <w:pPr>
        <w:pStyle w:val="ListParagraph"/>
        <w:numPr>
          <w:ilvl w:val="0"/>
          <w:numId w:val="5"/>
        </w:num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 xml:space="preserve">Overall, low quality evidence with most findings very low or low certainty by </w:t>
      </w:r>
      <w:hyperlink r:id="rId21" w:history="1">
        <w:r w:rsidRPr="006A5AA3">
          <w:rPr>
            <w:rStyle w:val="Hyperlink"/>
            <w:rFonts w:ascii="Times New Roman" w:hAnsi="Times New Roman" w:cs="Times New Roman"/>
            <w:b/>
            <w:bCs/>
            <w:sz w:val="28"/>
            <w:szCs w:val="28"/>
          </w:rPr>
          <w:t>GRADE criteria</w:t>
        </w:r>
      </w:hyperlink>
      <w:r w:rsidRPr="006A5AA3">
        <w:rPr>
          <w:rFonts w:ascii="Times New Roman" w:hAnsi="Times New Roman" w:cs="Times New Roman"/>
          <w:b/>
          <w:bCs/>
          <w:sz w:val="28"/>
          <w:szCs w:val="28"/>
        </w:rPr>
        <w:t>.</w:t>
      </w:r>
    </w:p>
    <w:p w14:paraId="357C1E6A" w14:textId="115ED13B" w:rsidR="006275FD" w:rsidRPr="006A5AA3" w:rsidRDefault="000552FF" w:rsidP="009D48A2">
      <w:pPr>
        <w:spacing w:before="240" w:after="240"/>
        <w:jc w:val="both"/>
        <w:rPr>
          <w:rFonts w:ascii="Times New Roman" w:hAnsi="Times New Roman" w:cs="Times New Roman"/>
          <w:b/>
          <w:bCs/>
          <w:sz w:val="28"/>
          <w:szCs w:val="28"/>
          <w:u w:val="single"/>
        </w:rPr>
      </w:pPr>
      <w:r w:rsidRPr="006A5AA3">
        <w:rPr>
          <w:rFonts w:ascii="Times New Roman" w:hAnsi="Times New Roman" w:cs="Times New Roman"/>
          <w:b/>
          <w:bCs/>
          <w:sz w:val="28"/>
          <w:szCs w:val="28"/>
          <w:u w:val="single"/>
        </w:rPr>
        <w:t>Bottom Line:</w:t>
      </w:r>
    </w:p>
    <w:p w14:paraId="75A79C20" w14:textId="2E2713B8" w:rsidR="000552FF" w:rsidRPr="006A5AA3" w:rsidRDefault="006275FD" w:rsidP="009D48A2">
      <w:pPr>
        <w:spacing w:before="240" w:after="240"/>
        <w:jc w:val="both"/>
        <w:rPr>
          <w:rFonts w:ascii="Times New Roman" w:hAnsi="Times New Roman" w:cs="Times New Roman"/>
          <w:b/>
          <w:bCs/>
          <w:sz w:val="28"/>
          <w:szCs w:val="28"/>
        </w:rPr>
      </w:pPr>
      <w:r w:rsidRPr="006A5AA3">
        <w:rPr>
          <w:rFonts w:ascii="Times New Roman" w:hAnsi="Times New Roman" w:cs="Times New Roman"/>
          <w:b/>
          <w:bCs/>
          <w:sz w:val="28"/>
          <w:szCs w:val="28"/>
        </w:rPr>
        <w:t>In terms of wound healing, the most effective topical agent appears to be one EDs do not use: honey.</w:t>
      </w:r>
      <w:r w:rsidR="006A5AA3" w:rsidRPr="006A5AA3">
        <w:rPr>
          <w:rFonts w:ascii="Times New Roman" w:hAnsi="Times New Roman" w:cs="Times New Roman"/>
          <w:b/>
          <w:bCs/>
          <w:sz w:val="28"/>
          <w:szCs w:val="28"/>
        </w:rPr>
        <w:t xml:space="preserve"> </w:t>
      </w:r>
      <w:r w:rsidRPr="006A5AA3">
        <w:rPr>
          <w:rFonts w:ascii="Times New Roman" w:hAnsi="Times New Roman" w:cs="Times New Roman"/>
          <w:b/>
          <w:bCs/>
          <w:sz w:val="28"/>
          <w:szCs w:val="28"/>
        </w:rPr>
        <w:t xml:space="preserve">More commonly applied topical agents like silver sulfadiazine do not appear superior to honey or other </w:t>
      </w:r>
      <w:r w:rsidR="005041C3" w:rsidRPr="006A5AA3">
        <w:rPr>
          <w:rFonts w:ascii="Times New Roman" w:hAnsi="Times New Roman" w:cs="Times New Roman"/>
          <w:b/>
          <w:bCs/>
          <w:sz w:val="28"/>
          <w:szCs w:val="28"/>
        </w:rPr>
        <w:t>silver-impregnated dressings to promote wound healing.</w:t>
      </w:r>
      <w:r w:rsidR="006A5AA3" w:rsidRPr="006A5AA3">
        <w:rPr>
          <w:rFonts w:ascii="Times New Roman" w:hAnsi="Times New Roman" w:cs="Times New Roman"/>
          <w:b/>
          <w:bCs/>
          <w:sz w:val="28"/>
          <w:szCs w:val="28"/>
        </w:rPr>
        <w:t xml:space="preserve"> </w:t>
      </w:r>
      <w:r w:rsidR="005041C3" w:rsidRPr="006A5AA3">
        <w:rPr>
          <w:rFonts w:ascii="Times New Roman" w:hAnsi="Times New Roman" w:cs="Times New Roman"/>
          <w:b/>
          <w:bCs/>
          <w:sz w:val="28"/>
          <w:szCs w:val="28"/>
        </w:rPr>
        <w:t>Silver sulfadiazine may be superior to petroleum gel in terms of time to wound healing.</w:t>
      </w:r>
    </w:p>
    <w:sectPr w:rsidR="000552FF" w:rsidRPr="006A5AA3"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56DE"/>
    <w:multiLevelType w:val="hybridMultilevel"/>
    <w:tmpl w:val="31DE7932"/>
    <w:lvl w:ilvl="0" w:tplc="392A6CA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C32704"/>
    <w:multiLevelType w:val="hybridMultilevel"/>
    <w:tmpl w:val="E2DA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248D"/>
    <w:rsid w:val="00016BF5"/>
    <w:rsid w:val="000552FF"/>
    <w:rsid w:val="000E47FC"/>
    <w:rsid w:val="00114475"/>
    <w:rsid w:val="00144B8F"/>
    <w:rsid w:val="0017145D"/>
    <w:rsid w:val="002B71A6"/>
    <w:rsid w:val="002E6474"/>
    <w:rsid w:val="00365B47"/>
    <w:rsid w:val="00430FDD"/>
    <w:rsid w:val="004353E8"/>
    <w:rsid w:val="004C0DE2"/>
    <w:rsid w:val="004F6EED"/>
    <w:rsid w:val="005036CB"/>
    <w:rsid w:val="005041C3"/>
    <w:rsid w:val="0062336C"/>
    <w:rsid w:val="006275FD"/>
    <w:rsid w:val="00636523"/>
    <w:rsid w:val="006A5AA3"/>
    <w:rsid w:val="006D3948"/>
    <w:rsid w:val="006E22E7"/>
    <w:rsid w:val="007921B8"/>
    <w:rsid w:val="007956D2"/>
    <w:rsid w:val="007A743B"/>
    <w:rsid w:val="00873AE5"/>
    <w:rsid w:val="009011DF"/>
    <w:rsid w:val="0098248D"/>
    <w:rsid w:val="00997BEF"/>
    <w:rsid w:val="009D48A2"/>
    <w:rsid w:val="009F0F03"/>
    <w:rsid w:val="00A067CC"/>
    <w:rsid w:val="00A96628"/>
    <w:rsid w:val="00AA55A4"/>
    <w:rsid w:val="00B62255"/>
    <w:rsid w:val="00BB7168"/>
    <w:rsid w:val="00BD40A0"/>
    <w:rsid w:val="00BD5369"/>
    <w:rsid w:val="00CF1501"/>
    <w:rsid w:val="00D56A9E"/>
    <w:rsid w:val="00D6743D"/>
    <w:rsid w:val="00F25459"/>
    <w:rsid w:val="00FB2F96"/>
    <w:rsid w:val="00FD2AC1"/>
    <w:rsid w:val="00FF3F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3E9F"/>
  <w15:docId w15:val="{95EA819F-FA81-5242-B973-FF6CF5FD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7956D2"/>
    <w:rPr>
      <w:color w:val="0563C1" w:themeColor="hyperlink"/>
      <w:u w:val="single"/>
    </w:rPr>
  </w:style>
  <w:style w:type="character" w:styleId="UnresolvedMention">
    <w:name w:val="Unresolved Mention"/>
    <w:basedOn w:val="DefaultParagraphFont"/>
    <w:uiPriority w:val="99"/>
    <w:semiHidden/>
    <w:unhideWhenUsed/>
    <w:rsid w:val="009011DF"/>
    <w:rPr>
      <w:color w:val="605E5C"/>
      <w:shd w:val="clear" w:color="auto" w:fill="E1DFDD"/>
    </w:rPr>
  </w:style>
  <w:style w:type="character" w:styleId="FollowedHyperlink">
    <w:name w:val="FollowedHyperlink"/>
    <w:basedOn w:val="DefaultParagraphFont"/>
    <w:uiPriority w:val="99"/>
    <w:semiHidden/>
    <w:unhideWhenUsed/>
    <w:rsid w:val="00901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wide.com/full-service-cro/?&amp;utm_source=google&amp;utm_medium=cpc&amp;utm_campaign=701F0000000uolJ&amp;mkwid=sY36qf2Co_dc&amp;crid=&amp;pcrid=456172424547&amp;pmt=b&amp;pkw=%2Bclinical%20%2Btrial%20%2Borganizations&amp;_vsrefdom=google&amp;SourceID=%2Bclinical%20%2Btrial%20%2Borganizations&amp;leadsource=SEM&amp;leadtactic=Paid-Search-Generic&amp;CMSourceURL=Google" TargetMode="External"/><Relationship Id="rId13" Type="http://schemas.openxmlformats.org/officeDocument/2006/relationships/hyperlink" Target="https://www.meta-analysis.com/downloads/Intro_Models.pdf" TargetMode="External"/><Relationship Id="rId18" Type="http://schemas.openxmlformats.org/officeDocument/2006/relationships/hyperlink" Target="https://methods.cochrane.org/bias/resources/rob-2-revised-cochrane-risk-bias-tool-randomized-trials" TargetMode="External"/><Relationship Id="rId3" Type="http://schemas.openxmlformats.org/officeDocument/2006/relationships/settings" Target="settings.xml"/><Relationship Id="rId21" Type="http://schemas.openxmlformats.org/officeDocument/2006/relationships/hyperlink" Target="https://training.cochrane.org/grade-approach" TargetMode="External"/><Relationship Id="rId7" Type="http://schemas.openxmlformats.org/officeDocument/2006/relationships/hyperlink" Target="https://clinicaltrials.gov/" TargetMode="External"/><Relationship Id="rId12" Type="http://schemas.openxmlformats.org/officeDocument/2006/relationships/hyperlink" Target="https://www.bmj.com/content/327/7414/557.long" TargetMode="External"/><Relationship Id="rId17" Type="http://schemas.openxmlformats.org/officeDocument/2006/relationships/hyperlink" Target="https://journals.lww.com/jtrauma/Abstract/2015/05000/An_open,_parallel,_randomized,_comparative,.16.aspx" TargetMode="External"/><Relationship Id="rId2" Type="http://schemas.openxmlformats.org/officeDocument/2006/relationships/styles" Target="styles.xml"/><Relationship Id="rId16" Type="http://schemas.openxmlformats.org/officeDocument/2006/relationships/hyperlink" Target="http://pmid.us/447779" TargetMode="External"/><Relationship Id="rId20" Type="http://schemas.openxmlformats.org/officeDocument/2006/relationships/hyperlink" Target="https://training.cochrane.org/grade-approach" TargetMode="External"/><Relationship Id="rId1" Type="http://schemas.openxmlformats.org/officeDocument/2006/relationships/numbering" Target="numbering.xml"/><Relationship Id="rId6" Type="http://schemas.openxmlformats.org/officeDocument/2006/relationships/hyperlink" Target="http://pmid.us/28700086" TargetMode="External"/><Relationship Id="rId11" Type="http://schemas.openxmlformats.org/officeDocument/2006/relationships/hyperlink" Target="https://www.cmaj.ca/content/172/5/661.long" TargetMode="External"/><Relationship Id="rId5" Type="http://schemas.openxmlformats.org/officeDocument/2006/relationships/hyperlink" Target="http://pmid.us/28700086"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methods.cochrane.org/bias/resources/rob-2-revised-cochrane-risk-bias-tool-randomized-trials" TargetMode="External"/><Relationship Id="rId19" Type="http://schemas.openxmlformats.org/officeDocument/2006/relationships/hyperlink" Target="https://www.cmaj.ca/content/171/11/1369.long" TargetMode="External"/><Relationship Id="rId4" Type="http://schemas.openxmlformats.org/officeDocument/2006/relationships/webSettings" Target="webSettings.xml"/><Relationship Id="rId9" Type="http://schemas.openxmlformats.org/officeDocument/2006/relationships/hyperlink" Target="https://www.clinicaltrialsregister.eu/ctr-search/search" TargetMode="External"/><Relationship Id="rId14" Type="http://schemas.openxmlformats.org/officeDocument/2006/relationships/hyperlink" Target="http://pmid.us/237407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17</cp:revision>
  <dcterms:created xsi:type="dcterms:W3CDTF">2020-08-27T16:21:00Z</dcterms:created>
  <dcterms:modified xsi:type="dcterms:W3CDTF">2020-09-20T17:57:00Z</dcterms:modified>
</cp:coreProperties>
</file>