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DC07E" w14:textId="263C1210" w:rsidR="00E6037B" w:rsidRDefault="008208FC" w:rsidP="00E002FC">
      <w:pPr>
        <w:jc w:val="center"/>
        <w:rPr>
          <w:b/>
          <w:sz w:val="28"/>
          <w:szCs w:val="28"/>
        </w:rPr>
      </w:pPr>
      <w:r>
        <w:rPr>
          <w:noProof/>
        </w:rPr>
        <mc:AlternateContent>
          <mc:Choice Requires="wps">
            <w:drawing>
              <wp:anchor distT="0" distB="0" distL="114300" distR="114300" simplePos="0" relativeHeight="251660288" behindDoc="0" locked="0" layoutInCell="1" allowOverlap="1" wp14:anchorId="3F485022" wp14:editId="7878AA5D">
                <wp:simplePos x="0" y="0"/>
                <wp:positionH relativeFrom="column">
                  <wp:posOffset>6400800</wp:posOffset>
                </wp:positionH>
                <wp:positionV relativeFrom="paragraph">
                  <wp:posOffset>-228600</wp:posOffset>
                </wp:positionV>
                <wp:extent cx="685800" cy="280035"/>
                <wp:effectExtent l="0" t="0" r="25400" b="24765"/>
                <wp:wrapNone/>
                <wp:docPr id="2" name="Text Box 2"/>
                <wp:cNvGraphicFramePr/>
                <a:graphic xmlns:a="http://schemas.openxmlformats.org/drawingml/2006/main">
                  <a:graphicData uri="http://schemas.microsoft.com/office/word/2010/wordprocessingShape">
                    <wps:wsp>
                      <wps:cNvSpPr txBox="1"/>
                      <wps:spPr>
                        <a:xfrm>
                          <a:off x="0" y="0"/>
                          <a:ext cx="685800" cy="280035"/>
                        </a:xfrm>
                        <a:prstGeom prst="rect">
                          <a:avLst/>
                        </a:prstGeom>
                        <a:solidFill>
                          <a:schemeClr val="lt1"/>
                        </a:solidFill>
                        <a:ln w="6350">
                          <a:solidFill>
                            <a:prstClr val="black"/>
                          </a:solidFill>
                        </a:ln>
                      </wps:spPr>
                      <wps:txbx>
                        <w:txbxContent>
                          <w:p w14:paraId="3D1126BC" w14:textId="5B308BA9" w:rsidR="00FB3267" w:rsidRDefault="00FB3267">
                            <w:r>
                              <w:t>PGY-4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7in;margin-top:-17.95pt;width:54pt;height:22.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" fillcolor="white [3201]" strokeweight=".5pt">
                <v:textbox>
                  <w:txbxContent>
                    <w:p w14:paraId="3D1126BC" w14:textId="5B308BA9" w:rsidR="00FB3267" w:rsidRDefault="00FB3267">
                      <w:r>
                        <w:t>PGY-4</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9C3E152" wp14:editId="2A67E3C5">
                <wp:simplePos x="0" y="0"/>
                <wp:positionH relativeFrom="column">
                  <wp:align>center</wp:align>
                </wp:positionH>
                <wp:positionV relativeFrom="paragraph">
                  <wp:posOffset>-228600</wp:posOffset>
                </wp:positionV>
                <wp:extent cx="5640705" cy="1600200"/>
                <wp:effectExtent l="0" t="0" r="2349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40705" cy="1600200"/>
                        </a:xfrm>
                        <a:prstGeom prst="rect">
                          <a:avLst/>
                        </a:prstGeom>
                        <a:solidFill>
                          <a:srgbClr val="FFFFFF"/>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1F4A693" w14:textId="77777777" w:rsidR="00FB3267" w:rsidRDefault="00FB3267" w:rsidP="00E6037B">
                            <w:pPr>
                              <w:jc w:val="center"/>
                              <w:rPr>
                                <w:b/>
                                <w:sz w:val="28"/>
                                <w:szCs w:val="28"/>
                              </w:rPr>
                            </w:pPr>
                            <w:r>
                              <w:rPr>
                                <w:b/>
                                <w:sz w:val="28"/>
                                <w:szCs w:val="28"/>
                              </w:rPr>
                              <w:t>Critical Review Form</w:t>
                            </w:r>
                          </w:p>
                          <w:p w14:paraId="71A71769" w14:textId="77777777" w:rsidR="00FB3267" w:rsidRDefault="00FB3267" w:rsidP="00E6037B">
                            <w:pPr>
                              <w:jc w:val="center"/>
                              <w:rPr>
                                <w:b/>
                                <w:sz w:val="28"/>
                                <w:szCs w:val="28"/>
                              </w:rPr>
                            </w:pPr>
                            <w:r w:rsidRPr="00E002FC">
                              <w:rPr>
                                <w:b/>
                                <w:sz w:val="28"/>
                                <w:szCs w:val="28"/>
                              </w:rPr>
                              <w:t xml:space="preserve">  Clinical Prediction or Decision Rule</w:t>
                            </w:r>
                          </w:p>
                          <w:p w14:paraId="7A3783C9" w14:textId="77777777" w:rsidR="00FB3267" w:rsidRDefault="00FB3267" w:rsidP="00E6037B">
                            <w:pPr>
                              <w:jc w:val="center"/>
                              <w:rPr>
                                <w:b/>
                                <w:sz w:val="28"/>
                                <w:szCs w:val="28"/>
                              </w:rPr>
                            </w:pPr>
                          </w:p>
                          <w:p w14:paraId="156DC54A" w14:textId="2F365CB5" w:rsidR="00FB3267" w:rsidRPr="00624137" w:rsidRDefault="00FB3267" w:rsidP="00E6037B">
                            <w:pPr>
                              <w:jc w:val="center"/>
                              <w:rPr>
                                <w:b/>
                                <w:sz w:val="28"/>
                                <w:szCs w:val="28"/>
                              </w:rPr>
                            </w:pPr>
                            <w:hyperlink r:id="rId6" w:history="1">
                              <w:proofErr w:type="gramStart"/>
                              <w:r w:rsidRPr="00624137">
                                <w:rPr>
                                  <w:color w:val="000087"/>
                                  <w:sz w:val="28"/>
                                  <w:szCs w:val="28"/>
                                  <w:u w:val="single" w:color="000087"/>
                                </w:rPr>
                                <w:t>van</w:t>
                              </w:r>
                              <w:proofErr w:type="gramEnd"/>
                              <w:r w:rsidRPr="00624137">
                                <w:rPr>
                                  <w:color w:val="000087"/>
                                  <w:sz w:val="28"/>
                                  <w:szCs w:val="28"/>
                                  <w:u w:val="single" w:color="000087"/>
                                </w:rPr>
                                <w:t xml:space="preserve"> der </w:t>
                              </w:r>
                              <w:proofErr w:type="spellStart"/>
                              <w:r w:rsidRPr="00624137">
                                <w:rPr>
                                  <w:color w:val="000087"/>
                                  <w:sz w:val="28"/>
                                  <w:szCs w:val="28"/>
                                  <w:u w:val="single" w:color="000087"/>
                                </w:rPr>
                                <w:t>Hulle</w:t>
                              </w:r>
                              <w:proofErr w:type="spellEnd"/>
                              <w:r w:rsidRPr="00624137">
                                <w:rPr>
                                  <w:color w:val="000087"/>
                                  <w:sz w:val="28"/>
                                  <w:szCs w:val="28"/>
                                  <w:u w:val="single" w:color="000087"/>
                                </w:rPr>
                                <w:t xml:space="preserve"> T, Cheung WY, </w:t>
                              </w:r>
                              <w:proofErr w:type="spellStart"/>
                              <w:r w:rsidRPr="00624137">
                                <w:rPr>
                                  <w:color w:val="000087"/>
                                  <w:sz w:val="28"/>
                                  <w:szCs w:val="28"/>
                                  <w:u w:val="single" w:color="000087"/>
                                </w:rPr>
                                <w:t>Kooij</w:t>
                              </w:r>
                              <w:proofErr w:type="spellEnd"/>
                              <w:r w:rsidRPr="00624137">
                                <w:rPr>
                                  <w:color w:val="000087"/>
                                  <w:sz w:val="28"/>
                                  <w:szCs w:val="28"/>
                                  <w:u w:val="single" w:color="000087"/>
                                </w:rPr>
                                <w:t xml:space="preserve"> S, et al; YEARS study group. Simplified diagnostic management of suspected pulmonary embolism (the YEARS study): a prospective, </w:t>
                              </w:r>
                              <w:proofErr w:type="spellStart"/>
                              <w:r w:rsidRPr="00624137">
                                <w:rPr>
                                  <w:color w:val="000087"/>
                                  <w:sz w:val="28"/>
                                  <w:szCs w:val="28"/>
                                  <w:u w:val="single" w:color="000087"/>
                                </w:rPr>
                                <w:t>multicentre</w:t>
                              </w:r>
                              <w:proofErr w:type="spellEnd"/>
                              <w:r w:rsidRPr="00624137">
                                <w:rPr>
                                  <w:color w:val="000087"/>
                                  <w:sz w:val="28"/>
                                  <w:szCs w:val="28"/>
                                  <w:u w:val="single" w:color="000087"/>
                                </w:rPr>
                                <w:t>, cohort study. Lancet. 2017 Jul 15</w:t>
                              </w:r>
                              <w:proofErr w:type="gramStart"/>
                              <w:r w:rsidRPr="00624137">
                                <w:rPr>
                                  <w:color w:val="000087"/>
                                  <w:sz w:val="28"/>
                                  <w:szCs w:val="28"/>
                                  <w:u w:val="single" w:color="000087"/>
                                </w:rPr>
                                <w:t>;390</w:t>
                              </w:r>
                              <w:proofErr w:type="gramEnd"/>
                              <w:r w:rsidRPr="00624137">
                                <w:rPr>
                                  <w:color w:val="000087"/>
                                  <w:sz w:val="28"/>
                                  <w:szCs w:val="28"/>
                                  <w:u w:val="single" w:color="000087"/>
                                </w:rPr>
                                <w:t>(10091):289-297.</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0;margin-top:-17.95pt;width:444.15pt;height:12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">
                <v:path arrowok="t"/>
                <v:textbox>
                  <w:txbxContent>
                    <w:p w14:paraId="11F4A693" w14:textId="77777777" w:rsidR="00FB3267" w:rsidRDefault="00FB3267" w:rsidP="00E6037B">
                      <w:pPr>
                        <w:jc w:val="center"/>
                        <w:rPr>
                          <w:b/>
                          <w:sz w:val="28"/>
                          <w:szCs w:val="28"/>
                        </w:rPr>
                      </w:pPr>
                      <w:r>
                        <w:rPr>
                          <w:b/>
                          <w:sz w:val="28"/>
                          <w:szCs w:val="28"/>
                        </w:rPr>
                        <w:t>Critical Review Form</w:t>
                      </w:r>
                    </w:p>
                    <w:p w14:paraId="71A71769" w14:textId="77777777" w:rsidR="00FB3267" w:rsidRDefault="00FB3267" w:rsidP="00E6037B">
                      <w:pPr>
                        <w:jc w:val="center"/>
                        <w:rPr>
                          <w:b/>
                          <w:sz w:val="28"/>
                          <w:szCs w:val="28"/>
                        </w:rPr>
                      </w:pPr>
                      <w:r w:rsidRPr="00E002FC">
                        <w:rPr>
                          <w:b/>
                          <w:sz w:val="28"/>
                          <w:szCs w:val="28"/>
                        </w:rPr>
                        <w:t xml:space="preserve">  Clinical Prediction or Decision Rule</w:t>
                      </w:r>
                    </w:p>
                    <w:p w14:paraId="7A3783C9" w14:textId="77777777" w:rsidR="00FB3267" w:rsidRDefault="00FB3267" w:rsidP="00E6037B">
                      <w:pPr>
                        <w:jc w:val="center"/>
                        <w:rPr>
                          <w:b/>
                          <w:sz w:val="28"/>
                          <w:szCs w:val="28"/>
                        </w:rPr>
                      </w:pPr>
                    </w:p>
                    <w:p w14:paraId="156DC54A" w14:textId="2F365CB5" w:rsidR="00FB3267" w:rsidRPr="00624137" w:rsidRDefault="00FB3267" w:rsidP="00E6037B">
                      <w:pPr>
                        <w:jc w:val="center"/>
                        <w:rPr>
                          <w:b/>
                          <w:sz w:val="28"/>
                          <w:szCs w:val="28"/>
                        </w:rPr>
                      </w:pPr>
                      <w:hyperlink r:id="rId7" w:history="1">
                        <w:proofErr w:type="gramStart"/>
                        <w:r w:rsidRPr="00624137">
                          <w:rPr>
                            <w:color w:val="000087"/>
                            <w:sz w:val="28"/>
                            <w:szCs w:val="28"/>
                            <w:u w:val="single" w:color="000087"/>
                          </w:rPr>
                          <w:t>van</w:t>
                        </w:r>
                        <w:proofErr w:type="gramEnd"/>
                        <w:r w:rsidRPr="00624137">
                          <w:rPr>
                            <w:color w:val="000087"/>
                            <w:sz w:val="28"/>
                            <w:szCs w:val="28"/>
                            <w:u w:val="single" w:color="000087"/>
                          </w:rPr>
                          <w:t xml:space="preserve"> der </w:t>
                        </w:r>
                        <w:proofErr w:type="spellStart"/>
                        <w:r w:rsidRPr="00624137">
                          <w:rPr>
                            <w:color w:val="000087"/>
                            <w:sz w:val="28"/>
                            <w:szCs w:val="28"/>
                            <w:u w:val="single" w:color="000087"/>
                          </w:rPr>
                          <w:t>Hulle</w:t>
                        </w:r>
                        <w:proofErr w:type="spellEnd"/>
                        <w:r w:rsidRPr="00624137">
                          <w:rPr>
                            <w:color w:val="000087"/>
                            <w:sz w:val="28"/>
                            <w:szCs w:val="28"/>
                            <w:u w:val="single" w:color="000087"/>
                          </w:rPr>
                          <w:t xml:space="preserve"> T, Cheung WY, </w:t>
                        </w:r>
                        <w:proofErr w:type="spellStart"/>
                        <w:r w:rsidRPr="00624137">
                          <w:rPr>
                            <w:color w:val="000087"/>
                            <w:sz w:val="28"/>
                            <w:szCs w:val="28"/>
                            <w:u w:val="single" w:color="000087"/>
                          </w:rPr>
                          <w:t>Kooij</w:t>
                        </w:r>
                        <w:proofErr w:type="spellEnd"/>
                        <w:r w:rsidRPr="00624137">
                          <w:rPr>
                            <w:color w:val="000087"/>
                            <w:sz w:val="28"/>
                            <w:szCs w:val="28"/>
                            <w:u w:val="single" w:color="000087"/>
                          </w:rPr>
                          <w:t xml:space="preserve"> S, et al; YEARS study group. Simplified diagnostic management of suspected pulmonary embolism (the YEARS study): a prospective, </w:t>
                        </w:r>
                        <w:proofErr w:type="spellStart"/>
                        <w:r w:rsidRPr="00624137">
                          <w:rPr>
                            <w:color w:val="000087"/>
                            <w:sz w:val="28"/>
                            <w:szCs w:val="28"/>
                            <w:u w:val="single" w:color="000087"/>
                          </w:rPr>
                          <w:t>multicentre</w:t>
                        </w:r>
                        <w:proofErr w:type="spellEnd"/>
                        <w:r w:rsidRPr="00624137">
                          <w:rPr>
                            <w:color w:val="000087"/>
                            <w:sz w:val="28"/>
                            <w:szCs w:val="28"/>
                            <w:u w:val="single" w:color="000087"/>
                          </w:rPr>
                          <w:t>, cohort study. Lancet. 2017 Jul 15</w:t>
                        </w:r>
                        <w:proofErr w:type="gramStart"/>
                        <w:r w:rsidRPr="00624137">
                          <w:rPr>
                            <w:color w:val="000087"/>
                            <w:sz w:val="28"/>
                            <w:szCs w:val="28"/>
                            <w:u w:val="single" w:color="000087"/>
                          </w:rPr>
                          <w:t>;390</w:t>
                        </w:r>
                        <w:proofErr w:type="gramEnd"/>
                        <w:r w:rsidRPr="00624137">
                          <w:rPr>
                            <w:color w:val="000087"/>
                            <w:sz w:val="28"/>
                            <w:szCs w:val="28"/>
                            <w:u w:val="single" w:color="000087"/>
                          </w:rPr>
                          <w:t>(10091):289-297.</w:t>
                        </w:r>
                      </w:hyperlink>
                    </w:p>
                  </w:txbxContent>
                </v:textbox>
                <w10:wrap type="square"/>
              </v:shape>
            </w:pict>
          </mc:Fallback>
        </mc:AlternateContent>
      </w:r>
    </w:p>
    <w:p w14:paraId="75E19590" w14:textId="77777777" w:rsidR="00E6037B" w:rsidRDefault="00E6037B" w:rsidP="00E002FC">
      <w:pPr>
        <w:jc w:val="center"/>
        <w:rPr>
          <w:b/>
          <w:sz w:val="28"/>
          <w:szCs w:val="28"/>
        </w:rPr>
      </w:pPr>
    </w:p>
    <w:p w14:paraId="59DEDC1E" w14:textId="77777777" w:rsidR="00E6037B" w:rsidRDefault="00E6037B" w:rsidP="00E002FC">
      <w:pPr>
        <w:jc w:val="center"/>
        <w:rPr>
          <w:b/>
          <w:sz w:val="28"/>
          <w:szCs w:val="28"/>
        </w:rPr>
      </w:pPr>
    </w:p>
    <w:p w14:paraId="4495C2A9" w14:textId="77777777" w:rsidR="00E6037B" w:rsidRDefault="00E6037B" w:rsidP="00E002FC">
      <w:pPr>
        <w:jc w:val="center"/>
        <w:rPr>
          <w:b/>
          <w:sz w:val="28"/>
          <w:szCs w:val="28"/>
        </w:rPr>
      </w:pPr>
    </w:p>
    <w:p w14:paraId="5D702271" w14:textId="77777777" w:rsidR="007B1A43" w:rsidRDefault="007B1A43" w:rsidP="00E6037B">
      <w:pPr>
        <w:spacing w:before="240" w:after="240"/>
        <w:jc w:val="both"/>
        <w:rPr>
          <w:b/>
          <w:sz w:val="28"/>
          <w:szCs w:val="28"/>
          <w:u w:val="single"/>
        </w:rPr>
      </w:pPr>
    </w:p>
    <w:p w14:paraId="4DB29641" w14:textId="3FB716E3" w:rsidR="00E6037B" w:rsidRPr="00BE710C" w:rsidRDefault="00E6037B" w:rsidP="00BE710C">
      <w:pPr>
        <w:spacing w:before="240" w:after="240"/>
        <w:jc w:val="both"/>
        <w:rPr>
          <w:b/>
          <w:sz w:val="28"/>
          <w:szCs w:val="28"/>
        </w:rPr>
      </w:pPr>
      <w:r w:rsidRPr="00BE710C">
        <w:rPr>
          <w:b/>
          <w:sz w:val="28"/>
          <w:szCs w:val="28"/>
          <w:u w:val="single"/>
        </w:rPr>
        <w:t>Objectives:</w:t>
      </w:r>
      <w:r w:rsidR="00BE710C" w:rsidRPr="00BE710C">
        <w:rPr>
          <w:b/>
          <w:sz w:val="28"/>
          <w:szCs w:val="28"/>
        </w:rPr>
        <w:t xml:space="preserve"> </w:t>
      </w:r>
      <w:r w:rsidR="00BE710C" w:rsidRPr="00BE710C">
        <w:rPr>
          <w:rFonts w:cs="ScalaLancetPro"/>
          <w:b/>
          <w:color w:val="000000"/>
          <w:sz w:val="28"/>
          <w:szCs w:val="28"/>
        </w:rPr>
        <w:t xml:space="preserve">to prospectively evaluate this novel and simplified diagnostic algorithm </w:t>
      </w:r>
      <w:r w:rsidR="00BE710C">
        <w:rPr>
          <w:rFonts w:cs="ScalaLancetPro"/>
          <w:b/>
          <w:color w:val="000000"/>
          <w:sz w:val="28"/>
          <w:szCs w:val="28"/>
        </w:rPr>
        <w:t xml:space="preserve">[YEARS algorithm] </w:t>
      </w:r>
      <w:r w:rsidR="00BE710C" w:rsidRPr="00BE710C">
        <w:rPr>
          <w:rFonts w:cs="ScalaLancetPro"/>
          <w:b/>
          <w:color w:val="000000"/>
          <w:sz w:val="28"/>
          <w:szCs w:val="28"/>
        </w:rPr>
        <w:t>for suspected acute pulmonary embolism</w:t>
      </w:r>
      <w:r w:rsidR="00535B37">
        <w:rPr>
          <w:rFonts w:cs="ScalaLancetPro"/>
          <w:b/>
          <w:color w:val="000000"/>
          <w:sz w:val="28"/>
          <w:szCs w:val="28"/>
        </w:rPr>
        <w:t xml:space="preserve"> [PE]</w:t>
      </w:r>
      <w:r w:rsidR="00BE710C" w:rsidRPr="00BE710C">
        <w:rPr>
          <w:rFonts w:cs="ScalaLancetPro"/>
          <w:b/>
          <w:color w:val="000000"/>
          <w:sz w:val="28"/>
          <w:szCs w:val="28"/>
        </w:rPr>
        <w:t>.</w:t>
      </w:r>
      <w:r w:rsidR="00BE710C">
        <w:rPr>
          <w:rFonts w:cs="ScalaLancetPro"/>
          <w:b/>
          <w:color w:val="000000"/>
          <w:sz w:val="28"/>
          <w:szCs w:val="28"/>
        </w:rPr>
        <w:t>" (p. 291)</w:t>
      </w:r>
    </w:p>
    <w:p w14:paraId="6AE6C924" w14:textId="77777777" w:rsidR="00285455" w:rsidRDefault="00E6037B" w:rsidP="00BE710C">
      <w:pPr>
        <w:spacing w:before="240" w:after="240"/>
        <w:jc w:val="both"/>
        <w:rPr>
          <w:b/>
          <w:sz w:val="28"/>
          <w:szCs w:val="28"/>
        </w:rPr>
      </w:pPr>
      <w:r w:rsidRPr="00BE710C">
        <w:rPr>
          <w:b/>
          <w:sz w:val="28"/>
          <w:szCs w:val="28"/>
          <w:u w:val="single"/>
        </w:rPr>
        <w:t>Methods:</w:t>
      </w:r>
      <w:r w:rsidR="00BE710C">
        <w:rPr>
          <w:b/>
          <w:sz w:val="28"/>
          <w:szCs w:val="28"/>
        </w:rPr>
        <w:t xml:space="preserve"> This prospective, multicenter cohort study was conducted at 12 hospitals in the Netherlands between October 5, 2013 and July 9, 2015.</w:t>
      </w:r>
      <w:r w:rsidR="00535B37">
        <w:rPr>
          <w:b/>
          <w:sz w:val="28"/>
          <w:szCs w:val="28"/>
        </w:rPr>
        <w:t xml:space="preserve"> Consecutive adult patients (outpatients and inpatients 18 years of age or older) with suspected PE were eligible for inclusion. Exclusion criteria were treatment with anticoagulants started 24 hours of more before enrollment, life expectancy &lt; 3 months, geographic inaccessibility to follow-up, pregnancy, or allergy to IV contrast agent.</w:t>
      </w:r>
      <w:r w:rsidR="00E03064">
        <w:rPr>
          <w:b/>
          <w:sz w:val="28"/>
          <w:szCs w:val="28"/>
        </w:rPr>
        <w:t xml:space="preserve"> The attending physician evaluated eligible patients with the </w:t>
      </w:r>
      <w:hyperlink r:id="rId8" w:history="1">
        <w:r w:rsidR="00E03064" w:rsidRPr="00E03064">
          <w:rPr>
            <w:rStyle w:val="Hyperlink"/>
            <w:b/>
            <w:sz w:val="28"/>
            <w:szCs w:val="28"/>
          </w:rPr>
          <w:t>YEARS score followed by a pre-test probability-dependent D-dimer threshold</w:t>
        </w:r>
      </w:hyperlink>
      <w:r w:rsidR="00285455">
        <w:rPr>
          <w:b/>
          <w:sz w:val="28"/>
          <w:szCs w:val="28"/>
        </w:rPr>
        <w:t>.</w:t>
      </w:r>
    </w:p>
    <w:p w14:paraId="7166400B" w14:textId="3B4FE2F2" w:rsidR="00285455" w:rsidRDefault="00E03064" w:rsidP="00BE710C">
      <w:pPr>
        <w:spacing w:before="240" w:after="240"/>
        <w:jc w:val="both"/>
        <w:rPr>
          <w:b/>
          <w:color w:val="000000"/>
          <w:sz w:val="28"/>
          <w:szCs w:val="28"/>
        </w:rPr>
      </w:pPr>
      <w:r>
        <w:rPr>
          <w:b/>
          <w:sz w:val="28"/>
          <w:szCs w:val="28"/>
        </w:rPr>
        <w:t>Per</w:t>
      </w:r>
      <w:r w:rsidR="00285455">
        <w:rPr>
          <w:b/>
          <w:sz w:val="28"/>
          <w:szCs w:val="28"/>
        </w:rPr>
        <w:t xml:space="preserve"> local practice,</w:t>
      </w:r>
      <w:r>
        <w:rPr>
          <w:b/>
          <w:sz w:val="28"/>
          <w:szCs w:val="28"/>
        </w:rPr>
        <w:t xml:space="preserve"> </w:t>
      </w:r>
      <w:r w:rsidR="00285455" w:rsidRPr="00A43C83">
        <w:rPr>
          <w:b/>
          <w:color w:val="000000"/>
          <w:sz w:val="28"/>
          <w:szCs w:val="28"/>
        </w:rPr>
        <w:t>patients with no YEARS criteria</w:t>
      </w:r>
      <w:r w:rsidR="00285455">
        <w:rPr>
          <w:b/>
          <w:color w:val="000000"/>
          <w:sz w:val="28"/>
          <w:szCs w:val="28"/>
        </w:rPr>
        <w:t xml:space="preserve"> and a </w:t>
      </w:r>
      <w:r w:rsidR="00285455" w:rsidRPr="00A43C83">
        <w:rPr>
          <w:b/>
          <w:color w:val="000000"/>
          <w:sz w:val="28"/>
          <w:szCs w:val="28"/>
        </w:rPr>
        <w:t xml:space="preserve">D-dimer &lt; 1000 </w:t>
      </w:r>
      <w:proofErr w:type="spellStart"/>
      <w:r w:rsidR="00285455" w:rsidRPr="00A43C83">
        <w:rPr>
          <w:b/>
          <w:color w:val="000000"/>
          <w:sz w:val="28"/>
          <w:szCs w:val="28"/>
        </w:rPr>
        <w:t>ng</w:t>
      </w:r>
      <w:proofErr w:type="spellEnd"/>
      <w:r w:rsidR="00285455" w:rsidRPr="00A43C83">
        <w:rPr>
          <w:b/>
          <w:color w:val="000000"/>
          <w:sz w:val="28"/>
          <w:szCs w:val="28"/>
        </w:rPr>
        <w:t xml:space="preserve">/mL </w:t>
      </w:r>
      <w:r w:rsidR="00285455">
        <w:rPr>
          <w:b/>
          <w:color w:val="000000"/>
          <w:sz w:val="28"/>
          <w:szCs w:val="28"/>
        </w:rPr>
        <w:t xml:space="preserve">were considered ruled out for PE, as were those </w:t>
      </w:r>
      <w:r w:rsidR="00285455" w:rsidRPr="00A43C83">
        <w:rPr>
          <w:b/>
          <w:color w:val="000000"/>
          <w:sz w:val="28"/>
          <w:szCs w:val="28"/>
        </w:rPr>
        <w:t>with one or more YEARS criteria</w:t>
      </w:r>
      <w:r w:rsidR="00285455">
        <w:rPr>
          <w:b/>
          <w:color w:val="000000"/>
          <w:sz w:val="28"/>
          <w:szCs w:val="28"/>
        </w:rPr>
        <w:t xml:space="preserve"> and</w:t>
      </w:r>
      <w:r w:rsidR="00285455" w:rsidRPr="00A43C83">
        <w:rPr>
          <w:b/>
          <w:color w:val="000000"/>
          <w:sz w:val="28"/>
          <w:szCs w:val="28"/>
        </w:rPr>
        <w:t xml:space="preserve"> a D-dimer &lt; 500 </w:t>
      </w:r>
      <w:proofErr w:type="spellStart"/>
      <w:r w:rsidR="00285455" w:rsidRPr="00A43C83">
        <w:rPr>
          <w:b/>
          <w:color w:val="000000"/>
          <w:sz w:val="28"/>
          <w:szCs w:val="28"/>
        </w:rPr>
        <w:t>ng</w:t>
      </w:r>
      <w:proofErr w:type="spellEnd"/>
      <w:r w:rsidR="00285455" w:rsidRPr="00A43C83">
        <w:rPr>
          <w:b/>
          <w:color w:val="000000"/>
          <w:sz w:val="28"/>
          <w:szCs w:val="28"/>
        </w:rPr>
        <w:t>/</w:t>
      </w:r>
      <w:proofErr w:type="spellStart"/>
      <w:r w:rsidR="00285455" w:rsidRPr="00A43C83">
        <w:rPr>
          <w:b/>
          <w:color w:val="000000"/>
          <w:sz w:val="28"/>
          <w:szCs w:val="28"/>
        </w:rPr>
        <w:t>mL.</w:t>
      </w:r>
      <w:proofErr w:type="spellEnd"/>
      <w:r w:rsidR="00285455">
        <w:rPr>
          <w:b/>
          <w:color w:val="000000"/>
          <w:sz w:val="28"/>
          <w:szCs w:val="28"/>
        </w:rPr>
        <w:t xml:space="preserve"> All other patients underwent CTPA. Patients ruled out for PE by the YEARS algorithm or CTPA underwent 3-month follow-up by a scheduled outpatient visit or a telephone interview. The primary outcome was the 3-month incidence of symptomatic venous thromboembolism (by objective diagnostic testing) in the overall population, in patients who did not undergo CTPA, and in patients who did undergo CTPA. Deaths were classified as caused by PE if confirmed by autopsy or found by objective testing prior to death. The secondary outcome was the proportion of CTPA exams performed according to the YEARS algorithm vs</w:t>
      </w:r>
      <w:r w:rsidR="00BA6260">
        <w:rPr>
          <w:b/>
          <w:color w:val="000000"/>
          <w:sz w:val="28"/>
          <w:szCs w:val="28"/>
        </w:rPr>
        <w:t>.</w:t>
      </w:r>
      <w:r w:rsidR="00285455">
        <w:rPr>
          <w:b/>
          <w:color w:val="000000"/>
          <w:sz w:val="28"/>
          <w:szCs w:val="28"/>
        </w:rPr>
        <w:t xml:space="preserve"> the theoretical proportion of CTPA exams that would have been performed according to the </w:t>
      </w:r>
      <w:hyperlink r:id="rId9" w:history="1">
        <w:r w:rsidR="00285455" w:rsidRPr="00285455">
          <w:rPr>
            <w:rStyle w:val="Hyperlink"/>
            <w:b/>
            <w:sz w:val="28"/>
            <w:szCs w:val="28"/>
          </w:rPr>
          <w:t>2-level Well's score</w:t>
        </w:r>
      </w:hyperlink>
      <w:r w:rsidR="00285455">
        <w:rPr>
          <w:b/>
          <w:color w:val="000000"/>
          <w:sz w:val="28"/>
          <w:szCs w:val="28"/>
        </w:rPr>
        <w:t xml:space="preserve"> and a fixed D-dimer threshold &lt; 500 </w:t>
      </w:r>
      <w:proofErr w:type="spellStart"/>
      <w:r w:rsidR="00285455">
        <w:rPr>
          <w:b/>
          <w:color w:val="000000"/>
          <w:sz w:val="28"/>
          <w:szCs w:val="28"/>
        </w:rPr>
        <w:t>ng</w:t>
      </w:r>
      <w:proofErr w:type="spellEnd"/>
      <w:r w:rsidR="00285455">
        <w:rPr>
          <w:b/>
          <w:color w:val="000000"/>
          <w:sz w:val="28"/>
          <w:szCs w:val="28"/>
        </w:rPr>
        <w:t>/</w:t>
      </w:r>
      <w:proofErr w:type="spellStart"/>
      <w:r w:rsidR="00285455">
        <w:rPr>
          <w:b/>
          <w:color w:val="000000"/>
          <w:sz w:val="28"/>
          <w:szCs w:val="28"/>
        </w:rPr>
        <w:t>mL.</w:t>
      </w:r>
      <w:proofErr w:type="spellEnd"/>
    </w:p>
    <w:p w14:paraId="56032DF9" w14:textId="682013EC" w:rsidR="006B1434" w:rsidRPr="00285455" w:rsidRDefault="006B1434" w:rsidP="00BE710C">
      <w:pPr>
        <w:spacing w:before="240" w:after="240"/>
        <w:jc w:val="both"/>
        <w:rPr>
          <w:b/>
          <w:color w:val="000000"/>
          <w:sz w:val="28"/>
          <w:szCs w:val="28"/>
        </w:rPr>
      </w:pPr>
      <w:r>
        <w:rPr>
          <w:b/>
          <w:color w:val="000000"/>
          <w:sz w:val="28"/>
          <w:szCs w:val="28"/>
        </w:rPr>
        <w:t>Out of 3616 consecutive patients with a clinically suspected PE, 3465 met all inclusion criteria and were included in the analysis. Of these, 1743 met no YEARS criteria and 1722 met one or more YEARS criteria. PE was detected in 456 (13%) patients during the initial evaluation. An additional 18 patients were diagnosed with symptomatic venous thromboembolism at 3-month follow-up.</w:t>
      </w:r>
    </w:p>
    <w:p w14:paraId="5D4DA688" w14:textId="77777777" w:rsidR="00E6037B" w:rsidRPr="00BE710C" w:rsidRDefault="00E6037B" w:rsidP="00BE710C">
      <w:pPr>
        <w:jc w:val="both"/>
        <w:rPr>
          <w:b/>
          <w:sz w:val="28"/>
          <w:szCs w:val="28"/>
        </w:rPr>
      </w:pPr>
    </w:p>
    <w:p w14:paraId="591BD1C2" w14:textId="77777777" w:rsidR="00E6037B" w:rsidRPr="00BE710C" w:rsidRDefault="00E6037B" w:rsidP="00BE710C">
      <w:pPr>
        <w:jc w:val="both"/>
        <w:rPr>
          <w:b/>
          <w:sz w:val="28"/>
          <w:szCs w:val="28"/>
        </w:rPr>
      </w:pPr>
    </w:p>
    <w:p w14:paraId="233A762F" w14:textId="77777777" w:rsidR="00E6037B" w:rsidRPr="00BE710C" w:rsidRDefault="00E6037B" w:rsidP="00BE710C">
      <w:pPr>
        <w:jc w:val="both"/>
        <w:rPr>
          <w:b/>
          <w:sz w:val="28"/>
          <w:szCs w:val="28"/>
        </w:rPr>
      </w:pPr>
    </w:p>
    <w:p w14:paraId="60FC62AD" w14:textId="1B4AE4DB" w:rsidR="00E6037B" w:rsidRDefault="00E6037B" w:rsidP="00E002FC">
      <w:pPr>
        <w:jc w:val="center"/>
        <w:rPr>
          <w:noProof/>
        </w:rPr>
      </w:pPr>
      <w:r>
        <w:rPr>
          <w:b/>
          <w:sz w:val="28"/>
          <w:szCs w:val="28"/>
        </w:rPr>
        <w:br w:type="page"/>
      </w:r>
    </w:p>
    <w:tbl>
      <w:tblPr>
        <w:tblStyle w:val="TableGrid"/>
        <w:tblW w:w="0" w:type="auto"/>
        <w:jc w:val="center"/>
        <w:tblLook w:val="01E0" w:firstRow="1" w:lastRow="1" w:firstColumn="1" w:lastColumn="1" w:noHBand="0" w:noVBand="0"/>
      </w:tblPr>
      <w:tblGrid>
        <w:gridCol w:w="1008"/>
        <w:gridCol w:w="3294"/>
        <w:gridCol w:w="5526"/>
      </w:tblGrid>
      <w:tr w:rsidR="00E6037B" w14:paraId="276A56C8" w14:textId="77777777" w:rsidTr="00C804FE">
        <w:trPr>
          <w:jc w:val="center"/>
        </w:trPr>
        <w:tc>
          <w:tcPr>
            <w:tcW w:w="4302" w:type="dxa"/>
            <w:gridSpan w:val="2"/>
          </w:tcPr>
          <w:p w14:paraId="4D625E23" w14:textId="77777777" w:rsidR="00E6037B" w:rsidRPr="00E002FC" w:rsidRDefault="00E6037B" w:rsidP="002905BB">
            <w:pPr>
              <w:jc w:val="center"/>
              <w:rPr>
                <w:b/>
              </w:rPr>
            </w:pPr>
            <w:r w:rsidRPr="00E002FC">
              <w:rPr>
                <w:b/>
              </w:rPr>
              <w:lastRenderedPageBreak/>
              <w:t>Guide</w:t>
            </w:r>
          </w:p>
        </w:tc>
        <w:tc>
          <w:tcPr>
            <w:tcW w:w="5526" w:type="dxa"/>
          </w:tcPr>
          <w:p w14:paraId="51C25601" w14:textId="77777777" w:rsidR="00E6037B" w:rsidRPr="00E002FC" w:rsidRDefault="00E6037B" w:rsidP="002905BB">
            <w:pPr>
              <w:jc w:val="center"/>
              <w:rPr>
                <w:b/>
              </w:rPr>
            </w:pPr>
            <w:r w:rsidRPr="00E002FC">
              <w:rPr>
                <w:b/>
              </w:rPr>
              <w:t>Comments</w:t>
            </w:r>
          </w:p>
        </w:tc>
      </w:tr>
      <w:tr w:rsidR="00E6037B" w14:paraId="4BABF42E" w14:textId="77777777" w:rsidTr="00C804FE">
        <w:trPr>
          <w:jc w:val="center"/>
        </w:trPr>
        <w:tc>
          <w:tcPr>
            <w:tcW w:w="1008" w:type="dxa"/>
          </w:tcPr>
          <w:p w14:paraId="358FF825" w14:textId="77777777" w:rsidR="00E6037B" w:rsidRPr="00FC473C" w:rsidRDefault="00E6037B" w:rsidP="002905BB">
            <w:pPr>
              <w:rPr>
                <w:b/>
              </w:rPr>
            </w:pPr>
            <w:r w:rsidRPr="00FC473C">
              <w:rPr>
                <w:b/>
              </w:rPr>
              <w:t>I.</w:t>
            </w:r>
          </w:p>
        </w:tc>
        <w:tc>
          <w:tcPr>
            <w:tcW w:w="3294" w:type="dxa"/>
          </w:tcPr>
          <w:p w14:paraId="6F2F73D6" w14:textId="77777777" w:rsidR="00E6037B" w:rsidRPr="00FC473C" w:rsidRDefault="00E6037B" w:rsidP="002905BB">
            <w:pPr>
              <w:rPr>
                <w:b/>
              </w:rPr>
            </w:pPr>
            <w:r w:rsidRPr="00FC473C">
              <w:rPr>
                <w:b/>
                <w:i/>
              </w:rPr>
              <w:t>Is this a newly derived instrument</w:t>
            </w:r>
            <w:r w:rsidRPr="00FC473C">
              <w:rPr>
                <w:b/>
              </w:rPr>
              <w:t xml:space="preserve"> (Level IV)?</w:t>
            </w:r>
          </w:p>
        </w:tc>
        <w:tc>
          <w:tcPr>
            <w:tcW w:w="5526" w:type="dxa"/>
          </w:tcPr>
          <w:p w14:paraId="0A7BD520" w14:textId="77777777" w:rsidR="00E6037B" w:rsidRDefault="00E6037B" w:rsidP="002905BB"/>
        </w:tc>
      </w:tr>
      <w:tr w:rsidR="00E6037B" w14:paraId="7F7230D0" w14:textId="77777777" w:rsidTr="00C804FE">
        <w:trPr>
          <w:jc w:val="center"/>
        </w:trPr>
        <w:tc>
          <w:tcPr>
            <w:tcW w:w="1008" w:type="dxa"/>
          </w:tcPr>
          <w:p w14:paraId="1EC37476" w14:textId="77777777" w:rsidR="00E6037B" w:rsidRDefault="00E6037B" w:rsidP="002905BB">
            <w:r>
              <w:t>A.</w:t>
            </w:r>
          </w:p>
        </w:tc>
        <w:tc>
          <w:tcPr>
            <w:tcW w:w="3294" w:type="dxa"/>
          </w:tcPr>
          <w:p w14:paraId="4B578DFC" w14:textId="77777777" w:rsidR="00E6037B" w:rsidRDefault="00E6037B" w:rsidP="002905BB">
            <w:r>
              <w:t>Was validation restricted to the retrospective use of statistical techniques on the original database?  (If so, this is a Level IV rule &amp; is not ready for clinical application).</w:t>
            </w:r>
          </w:p>
        </w:tc>
        <w:tc>
          <w:tcPr>
            <w:tcW w:w="5526" w:type="dxa"/>
          </w:tcPr>
          <w:p w14:paraId="78EEE272" w14:textId="3DA4A26B" w:rsidR="00E6037B" w:rsidRDefault="00686E4E" w:rsidP="00686E4E">
            <w:r>
              <w:t>No. This study involved prospective validation of the YEARS algorithm in 12 hospitals in the Netherlands.</w:t>
            </w:r>
          </w:p>
        </w:tc>
      </w:tr>
      <w:tr w:rsidR="00E6037B" w14:paraId="0C15F0B1" w14:textId="77777777" w:rsidTr="00C804FE">
        <w:trPr>
          <w:jc w:val="center"/>
        </w:trPr>
        <w:tc>
          <w:tcPr>
            <w:tcW w:w="1008" w:type="dxa"/>
          </w:tcPr>
          <w:p w14:paraId="5AC79013" w14:textId="77777777" w:rsidR="00E6037B" w:rsidRPr="00FC473C" w:rsidRDefault="00E6037B" w:rsidP="002905BB">
            <w:pPr>
              <w:rPr>
                <w:b/>
              </w:rPr>
            </w:pPr>
            <w:r w:rsidRPr="00FC473C">
              <w:rPr>
                <w:b/>
              </w:rPr>
              <w:t>II</w:t>
            </w:r>
            <w:r>
              <w:rPr>
                <w:b/>
              </w:rPr>
              <w:t>.</w:t>
            </w:r>
          </w:p>
        </w:tc>
        <w:tc>
          <w:tcPr>
            <w:tcW w:w="3294" w:type="dxa"/>
          </w:tcPr>
          <w:p w14:paraId="34EF1420" w14:textId="77777777" w:rsidR="00E6037B" w:rsidRPr="00FC473C" w:rsidRDefault="00E6037B" w:rsidP="002905BB">
            <w:pPr>
              <w:rPr>
                <w:b/>
              </w:rPr>
            </w:pPr>
            <w:r w:rsidRPr="00FC473C">
              <w:rPr>
                <w:b/>
              </w:rPr>
              <w:t>Has the instrument been validated? (Level II or III).  If so, consider the following:</w:t>
            </w:r>
          </w:p>
        </w:tc>
        <w:tc>
          <w:tcPr>
            <w:tcW w:w="5526" w:type="dxa"/>
          </w:tcPr>
          <w:p w14:paraId="52E3E6B1" w14:textId="77777777" w:rsidR="00E6037B" w:rsidRDefault="00E6037B" w:rsidP="002905BB"/>
        </w:tc>
      </w:tr>
      <w:tr w:rsidR="00E6037B" w14:paraId="68E8D0A2" w14:textId="77777777" w:rsidTr="00C804FE">
        <w:trPr>
          <w:jc w:val="center"/>
        </w:trPr>
        <w:tc>
          <w:tcPr>
            <w:tcW w:w="1008" w:type="dxa"/>
          </w:tcPr>
          <w:p w14:paraId="40BF685A" w14:textId="77777777" w:rsidR="00E6037B" w:rsidRDefault="00E6037B" w:rsidP="002905BB">
            <w:r>
              <w:t>1a</w:t>
            </w:r>
          </w:p>
        </w:tc>
        <w:tc>
          <w:tcPr>
            <w:tcW w:w="3294" w:type="dxa"/>
          </w:tcPr>
          <w:p w14:paraId="0A132B6D" w14:textId="77777777" w:rsidR="00E6037B" w:rsidRDefault="00E6037B" w:rsidP="002905BB">
            <w:r>
              <w:t>Were all important predictors included in the derivation process?</w:t>
            </w:r>
          </w:p>
        </w:tc>
        <w:tc>
          <w:tcPr>
            <w:tcW w:w="5526" w:type="dxa"/>
          </w:tcPr>
          <w:p w14:paraId="1C75A933" w14:textId="14E8DE7E" w:rsidR="00E6037B" w:rsidRDefault="00AA4025" w:rsidP="002905BB">
            <w:r>
              <w:t>N/A</w:t>
            </w:r>
          </w:p>
        </w:tc>
      </w:tr>
      <w:tr w:rsidR="00E6037B" w14:paraId="6B9E6E57" w14:textId="77777777" w:rsidTr="00C804FE">
        <w:trPr>
          <w:jc w:val="center"/>
        </w:trPr>
        <w:tc>
          <w:tcPr>
            <w:tcW w:w="1008" w:type="dxa"/>
          </w:tcPr>
          <w:p w14:paraId="4698BF27" w14:textId="77777777" w:rsidR="00E6037B" w:rsidRDefault="00E6037B" w:rsidP="002905BB">
            <w:r>
              <w:t>1b</w:t>
            </w:r>
          </w:p>
        </w:tc>
        <w:tc>
          <w:tcPr>
            <w:tcW w:w="3294" w:type="dxa"/>
          </w:tcPr>
          <w:p w14:paraId="6CEA0F03" w14:textId="77777777" w:rsidR="00E6037B" w:rsidRDefault="00E6037B" w:rsidP="002905BB">
            <w:r>
              <w:t>Were all important predictors present in significant proportion of the study population?</w:t>
            </w:r>
          </w:p>
        </w:tc>
        <w:tc>
          <w:tcPr>
            <w:tcW w:w="5526" w:type="dxa"/>
          </w:tcPr>
          <w:p w14:paraId="6A4EC9BE" w14:textId="44AC5626" w:rsidR="00E6037B" w:rsidRDefault="00AA4025" w:rsidP="002905BB">
            <w:r>
              <w:t>N/A</w:t>
            </w:r>
          </w:p>
        </w:tc>
      </w:tr>
      <w:tr w:rsidR="00E6037B" w14:paraId="751D2B9A" w14:textId="77777777" w:rsidTr="00C804FE">
        <w:trPr>
          <w:jc w:val="center"/>
        </w:trPr>
        <w:tc>
          <w:tcPr>
            <w:tcW w:w="1008" w:type="dxa"/>
          </w:tcPr>
          <w:p w14:paraId="37FBE429" w14:textId="77777777" w:rsidR="00E6037B" w:rsidRDefault="00E6037B" w:rsidP="002905BB">
            <w:r>
              <w:t>1c</w:t>
            </w:r>
          </w:p>
        </w:tc>
        <w:tc>
          <w:tcPr>
            <w:tcW w:w="3294" w:type="dxa"/>
          </w:tcPr>
          <w:p w14:paraId="556CC9BE" w14:textId="77777777" w:rsidR="00E6037B" w:rsidRDefault="00E6037B" w:rsidP="002905BB">
            <w:r>
              <w:t>Does the rule make clinical sense?</w:t>
            </w:r>
          </w:p>
        </w:tc>
        <w:tc>
          <w:tcPr>
            <w:tcW w:w="5526" w:type="dxa"/>
          </w:tcPr>
          <w:p w14:paraId="4984577D" w14:textId="3198DCA5" w:rsidR="00E6037B" w:rsidRDefault="00AA4025" w:rsidP="002905BB">
            <w:r>
              <w:t xml:space="preserve">Yes. The YEARS algorithm is a simplified clinical decision tool that uses 3 of the questions from the Wells' PE criteria. Using a </w:t>
            </w:r>
            <w:hyperlink r:id="rId10" w:history="1">
              <w:r w:rsidRPr="0041380B">
                <w:rPr>
                  <w:rStyle w:val="Hyperlink"/>
                </w:rPr>
                <w:t>Bayesian statistical</w:t>
              </w:r>
            </w:hyperlink>
            <w:r>
              <w:t xml:space="preserve"> approach, patients with no YEARS criteria present who hence have a low pre-test probability for PE were considered ruled out with a higher D-dimer threshold (1000 mg/</w:t>
            </w:r>
            <w:proofErr w:type="spellStart"/>
            <w:r>
              <w:t>dL</w:t>
            </w:r>
            <w:proofErr w:type="spellEnd"/>
            <w:r>
              <w:t>), while patients with ay YEARS criteria were felt to be higher risk and hence were ruled out with a lower D-dimer threshold (500 mg/</w:t>
            </w:r>
            <w:proofErr w:type="spellStart"/>
            <w:r>
              <w:t>dL</w:t>
            </w:r>
            <w:proofErr w:type="spellEnd"/>
            <w:r>
              <w:t>).</w:t>
            </w:r>
          </w:p>
        </w:tc>
      </w:tr>
      <w:tr w:rsidR="00E6037B" w14:paraId="08A129F2" w14:textId="77777777" w:rsidTr="00C804FE">
        <w:trPr>
          <w:jc w:val="center"/>
        </w:trPr>
        <w:tc>
          <w:tcPr>
            <w:tcW w:w="1008" w:type="dxa"/>
          </w:tcPr>
          <w:p w14:paraId="7B1EA0F0" w14:textId="77777777" w:rsidR="00E6037B" w:rsidRDefault="00E6037B" w:rsidP="002905BB">
            <w:r>
              <w:t>2</w:t>
            </w:r>
          </w:p>
        </w:tc>
        <w:tc>
          <w:tcPr>
            <w:tcW w:w="3294" w:type="dxa"/>
          </w:tcPr>
          <w:p w14:paraId="611109E7" w14:textId="77777777" w:rsidR="00E6037B" w:rsidRDefault="00E6037B" w:rsidP="002905BB">
            <w:r>
              <w:t>Did validation include prospective studies on several different populations from that used to derive it (II) or was it restricted to a single population (III)?</w:t>
            </w:r>
          </w:p>
        </w:tc>
        <w:tc>
          <w:tcPr>
            <w:tcW w:w="5526" w:type="dxa"/>
          </w:tcPr>
          <w:p w14:paraId="65B5C05A" w14:textId="03C64590" w:rsidR="00E6037B" w:rsidRDefault="00AA4025" w:rsidP="002905BB">
            <w:r>
              <w:t>In this particular study, prospective validation was performed in 12 different hospitals. These hospitals were all located in the Netherlands, and further validation in disparate locations will be necessary to generalize the results.</w:t>
            </w:r>
          </w:p>
        </w:tc>
      </w:tr>
      <w:tr w:rsidR="00E6037B" w14:paraId="1E42B81E" w14:textId="77777777" w:rsidTr="00C804FE">
        <w:trPr>
          <w:jc w:val="center"/>
        </w:trPr>
        <w:tc>
          <w:tcPr>
            <w:tcW w:w="1008" w:type="dxa"/>
          </w:tcPr>
          <w:p w14:paraId="29D2D5F3" w14:textId="77777777" w:rsidR="00E6037B" w:rsidRDefault="00E6037B" w:rsidP="002905BB">
            <w:r>
              <w:t>3</w:t>
            </w:r>
          </w:p>
        </w:tc>
        <w:tc>
          <w:tcPr>
            <w:tcW w:w="3294" w:type="dxa"/>
          </w:tcPr>
          <w:p w14:paraId="18668520" w14:textId="77777777" w:rsidR="00E6037B" w:rsidRPr="000E6115" w:rsidRDefault="00E6037B" w:rsidP="002905BB">
            <w:pPr>
              <w:jc w:val="center"/>
              <w:rPr>
                <w:i/>
              </w:rPr>
            </w:pPr>
            <w:r w:rsidRPr="000E6115">
              <w:rPr>
                <w:i/>
              </w:rPr>
              <w:t>How well did the validation study meet the following criteria?</w:t>
            </w:r>
          </w:p>
        </w:tc>
        <w:tc>
          <w:tcPr>
            <w:tcW w:w="5526" w:type="dxa"/>
          </w:tcPr>
          <w:p w14:paraId="300DD8CB" w14:textId="77777777" w:rsidR="00E6037B" w:rsidRDefault="00E6037B" w:rsidP="002905BB"/>
        </w:tc>
      </w:tr>
      <w:tr w:rsidR="00E6037B" w14:paraId="58FB11AF" w14:textId="77777777" w:rsidTr="00C804FE">
        <w:trPr>
          <w:jc w:val="center"/>
        </w:trPr>
        <w:tc>
          <w:tcPr>
            <w:tcW w:w="1008" w:type="dxa"/>
          </w:tcPr>
          <w:p w14:paraId="009E1E9C" w14:textId="77777777" w:rsidR="00E6037B" w:rsidRDefault="00E6037B" w:rsidP="002905BB">
            <w:r>
              <w:t>3a</w:t>
            </w:r>
          </w:p>
        </w:tc>
        <w:tc>
          <w:tcPr>
            <w:tcW w:w="3294" w:type="dxa"/>
          </w:tcPr>
          <w:p w14:paraId="4D08F3A1" w14:textId="77777777" w:rsidR="00E6037B" w:rsidRDefault="00E6037B" w:rsidP="002905BB">
            <w:r>
              <w:t>Did the patients represent a wide spectrum of severity of disease?</w:t>
            </w:r>
          </w:p>
        </w:tc>
        <w:tc>
          <w:tcPr>
            <w:tcW w:w="5526" w:type="dxa"/>
          </w:tcPr>
          <w:p w14:paraId="6B7740BA" w14:textId="281A70E5" w:rsidR="00E6037B" w:rsidRDefault="00D45CE4" w:rsidP="00D45CE4">
            <w:r>
              <w:t xml:space="preserve">Purportedly yes. The authors make no specific mention of excluding patients felt to be at high-risk for PE (based on clinical gestalt or Geneva risk scores). As a result, this study appears to include a wide spectrum of potential disease severity and should be at low risk of </w:t>
            </w:r>
            <w:hyperlink r:id="rId11" w:history="1">
              <w:r w:rsidRPr="001833D6">
                <w:rPr>
                  <w:rStyle w:val="Hyperlink"/>
                </w:rPr>
                <w:t>spectrum bias</w:t>
              </w:r>
            </w:hyperlink>
            <w:r>
              <w:t>. Patient were divided evenly between those meeting 0 YEARS criteria and those meeting 1 or more YEARS criteria. Unfortunately, the authors do not break down this latter group by the number of patients meeting 1, 2, or 3 YEARS criteria.</w:t>
            </w:r>
          </w:p>
        </w:tc>
      </w:tr>
      <w:tr w:rsidR="00E6037B" w14:paraId="6010102D" w14:textId="77777777" w:rsidTr="00C804FE">
        <w:trPr>
          <w:jc w:val="center"/>
        </w:trPr>
        <w:tc>
          <w:tcPr>
            <w:tcW w:w="1008" w:type="dxa"/>
          </w:tcPr>
          <w:p w14:paraId="32E258FE" w14:textId="77777777" w:rsidR="00E6037B" w:rsidRDefault="00E6037B" w:rsidP="002905BB">
            <w:r>
              <w:t xml:space="preserve">3b </w:t>
            </w:r>
          </w:p>
        </w:tc>
        <w:tc>
          <w:tcPr>
            <w:tcW w:w="3294" w:type="dxa"/>
          </w:tcPr>
          <w:p w14:paraId="307CC9C3" w14:textId="77777777" w:rsidR="00E6037B" w:rsidRDefault="00E6037B" w:rsidP="002905BB">
            <w:r>
              <w:t>Was there a blinded assessment of the gold standard?</w:t>
            </w:r>
          </w:p>
        </w:tc>
        <w:tc>
          <w:tcPr>
            <w:tcW w:w="5526" w:type="dxa"/>
          </w:tcPr>
          <w:p w14:paraId="3E550E3D" w14:textId="244332A6" w:rsidR="00E6037B" w:rsidRDefault="00BA6260" w:rsidP="00BA6260">
            <w:r>
              <w:t xml:space="preserve">No. The authors do not mention whether radiologists or follow-up outcome assessors were blinded to risk </w:t>
            </w:r>
            <w:r>
              <w:lastRenderedPageBreak/>
              <w:t>stratification scores (included components of the YEARS score), D-dimer results, or level of clinician suspicion for PE.</w:t>
            </w:r>
          </w:p>
        </w:tc>
      </w:tr>
      <w:tr w:rsidR="00E6037B" w14:paraId="3375BAE1" w14:textId="77777777" w:rsidTr="00C804FE">
        <w:trPr>
          <w:jc w:val="center"/>
        </w:trPr>
        <w:tc>
          <w:tcPr>
            <w:tcW w:w="1008" w:type="dxa"/>
          </w:tcPr>
          <w:p w14:paraId="63497C44" w14:textId="77777777" w:rsidR="00E6037B" w:rsidRDefault="00E6037B" w:rsidP="002905BB">
            <w:r>
              <w:lastRenderedPageBreak/>
              <w:t>3c</w:t>
            </w:r>
          </w:p>
        </w:tc>
        <w:tc>
          <w:tcPr>
            <w:tcW w:w="3294" w:type="dxa"/>
          </w:tcPr>
          <w:p w14:paraId="15312874" w14:textId="77777777" w:rsidR="00E6037B" w:rsidRDefault="00E6037B" w:rsidP="002905BB">
            <w:r>
              <w:t>Was there an explicit and accurate interpretation of the predictor variables &amp; the actual rule without knowledge of the outcome?</w:t>
            </w:r>
          </w:p>
        </w:tc>
        <w:tc>
          <w:tcPr>
            <w:tcW w:w="5526" w:type="dxa"/>
          </w:tcPr>
          <w:p w14:paraId="19E9A543" w14:textId="03C8F94B" w:rsidR="00E6037B" w:rsidRPr="005A4371" w:rsidRDefault="005A4371" w:rsidP="005A4371">
            <w:pPr>
              <w:widowControl w:val="0"/>
              <w:autoSpaceDE w:val="0"/>
              <w:autoSpaceDN w:val="0"/>
              <w:adjustRightInd w:val="0"/>
              <w:spacing w:after="240" w:line="280" w:lineRule="atLeast"/>
              <w:rPr>
                <w:color w:val="000000"/>
              </w:rPr>
            </w:pPr>
            <w:r>
              <w:rPr>
                <w:color w:val="000000"/>
              </w:rPr>
              <w:t xml:space="preserve">Somewhat. While not specifically mentions, CTPA was presumably not ordered until the clinician had performed risk stratification using the YEARS criteria and the D-dimer result was back. </w:t>
            </w:r>
            <w:r w:rsidR="00861BD9" w:rsidRPr="00861BD9">
              <w:rPr>
                <w:color w:val="000000"/>
              </w:rPr>
              <w:t>"Physicians were not blinded for the D-dimer test result when they assigned the YEARS items." (p. 291</w:t>
            </w:r>
            <w:proofErr w:type="gramStart"/>
            <w:r w:rsidR="00861BD9" w:rsidRPr="00861BD9">
              <w:rPr>
                <w:color w:val="000000"/>
              </w:rPr>
              <w:t xml:space="preserve">) </w:t>
            </w:r>
            <w:r>
              <w:rPr>
                <w:color w:val="000000"/>
              </w:rPr>
              <w:t xml:space="preserve"> There</w:t>
            </w:r>
            <w:proofErr w:type="gramEnd"/>
            <w:r>
              <w:rPr>
                <w:color w:val="000000"/>
              </w:rPr>
              <w:t xml:space="preserve"> is low risk of </w:t>
            </w:r>
            <w:hyperlink r:id="rId12" w:history="1">
              <w:r w:rsidRPr="005A4371">
                <w:rPr>
                  <w:rStyle w:val="Hyperlink"/>
                </w:rPr>
                <w:t>incorporation bias</w:t>
              </w:r>
            </w:hyperlink>
            <w:r>
              <w:rPr>
                <w:color w:val="000000"/>
              </w:rPr>
              <w:t>.</w:t>
            </w:r>
          </w:p>
        </w:tc>
      </w:tr>
      <w:tr w:rsidR="00E6037B" w14:paraId="028590D0" w14:textId="77777777" w:rsidTr="00C804FE">
        <w:trPr>
          <w:jc w:val="center"/>
        </w:trPr>
        <w:tc>
          <w:tcPr>
            <w:tcW w:w="1008" w:type="dxa"/>
          </w:tcPr>
          <w:p w14:paraId="468F24C7" w14:textId="77777777" w:rsidR="00E6037B" w:rsidRDefault="00E6037B" w:rsidP="002905BB">
            <w:r>
              <w:t>3d</w:t>
            </w:r>
          </w:p>
        </w:tc>
        <w:tc>
          <w:tcPr>
            <w:tcW w:w="3294" w:type="dxa"/>
          </w:tcPr>
          <w:p w14:paraId="7C82B45D" w14:textId="77777777" w:rsidR="00E6037B" w:rsidRDefault="00E6037B" w:rsidP="002905BB">
            <w:r>
              <w:t>Did the results of the assessment of the variables or of the rule influence the decision to perform the gold standard?</w:t>
            </w:r>
          </w:p>
        </w:tc>
        <w:tc>
          <w:tcPr>
            <w:tcW w:w="5526" w:type="dxa"/>
          </w:tcPr>
          <w:p w14:paraId="3D4E5E54" w14:textId="448B3957" w:rsidR="00E6037B" w:rsidRDefault="00071A2F" w:rsidP="00071A2F">
            <w:r>
              <w:t xml:space="preserve">Yes. CTPA was performed in </w:t>
            </w:r>
            <w:r w:rsidR="00CC7F78">
              <w:t>1814</w:t>
            </w:r>
            <w:r>
              <w:t xml:space="preserve"> </w:t>
            </w:r>
            <w:r w:rsidR="00CC7F78">
              <w:t>patients, representing 52</w:t>
            </w:r>
            <w:r>
              <w:t>% of the overall cohort. All patients were followed up at 3 months by outpatient visit or telephone, but no further testing was required in cases managed without initial CTPA  (</w:t>
            </w:r>
            <w:hyperlink r:id="rId13" w:history="1">
              <w:r w:rsidRPr="003E5F08">
                <w:rPr>
                  <w:rStyle w:val="Hyperlink"/>
                </w:rPr>
                <w:t>partial verification bias</w:t>
              </w:r>
            </w:hyperlink>
            <w:r>
              <w:t>).</w:t>
            </w:r>
          </w:p>
        </w:tc>
      </w:tr>
      <w:tr w:rsidR="00E6037B" w14:paraId="08B6E2FC" w14:textId="77777777" w:rsidTr="00C804FE">
        <w:trPr>
          <w:jc w:val="center"/>
        </w:trPr>
        <w:tc>
          <w:tcPr>
            <w:tcW w:w="1008" w:type="dxa"/>
          </w:tcPr>
          <w:p w14:paraId="59113C4D" w14:textId="77777777" w:rsidR="00E6037B" w:rsidRDefault="00E6037B" w:rsidP="002905BB">
            <w:r>
              <w:t>4</w:t>
            </w:r>
          </w:p>
        </w:tc>
        <w:tc>
          <w:tcPr>
            <w:tcW w:w="3294" w:type="dxa"/>
          </w:tcPr>
          <w:p w14:paraId="05432D6C" w14:textId="77777777" w:rsidR="00E6037B" w:rsidRDefault="00E6037B" w:rsidP="002905BB">
            <w:r>
              <w:t>How powerful is the rule (in terms of sensitivity &amp; specificity; likelihood ratios; proportions with alternative outcomes; or relative risks or absolute outcome rates)?</w:t>
            </w:r>
          </w:p>
        </w:tc>
        <w:tc>
          <w:tcPr>
            <w:tcW w:w="5526" w:type="dxa"/>
          </w:tcPr>
          <w:p w14:paraId="53917078" w14:textId="69B2F6B6" w:rsidR="00E6037B" w:rsidRDefault="00FC5F9A" w:rsidP="00CC7F78">
            <w:pPr>
              <w:pStyle w:val="ListParagraph"/>
              <w:numPr>
                <w:ilvl w:val="0"/>
                <w:numId w:val="1"/>
              </w:numPr>
            </w:pPr>
            <w:r>
              <w:t>In the intention-to-diagnose population, a</w:t>
            </w:r>
            <w:r w:rsidR="00CC7F78">
              <w:t>mong 2946 patients ruled out for PE on the index visit, 18 were diagnosed with a symptomatic venous thromboembolism within 3 months (0.61%, 95% CI 0.36-0.96%).</w:t>
            </w:r>
          </w:p>
          <w:p w14:paraId="0D948609" w14:textId="0DA1C4CE" w:rsidR="00CC7F78" w:rsidRDefault="00FC5F9A" w:rsidP="00CC7F78">
            <w:pPr>
              <w:pStyle w:val="ListParagraph"/>
              <w:numPr>
                <w:ilvl w:val="1"/>
                <w:numId w:val="1"/>
              </w:numPr>
            </w:pPr>
            <w:r>
              <w:t>T</w:t>
            </w:r>
            <w:r w:rsidR="00CC7F78">
              <w:t>he incidence of fatal PE was 0.20% (95% CI 0.07-0.44%).</w:t>
            </w:r>
          </w:p>
          <w:p w14:paraId="119311A9" w14:textId="328FEA22" w:rsidR="00CC7F78" w:rsidRDefault="00FC5F9A" w:rsidP="00CC7F78">
            <w:pPr>
              <w:pStyle w:val="ListParagraph"/>
              <w:numPr>
                <w:ilvl w:val="0"/>
                <w:numId w:val="1"/>
              </w:numPr>
            </w:pPr>
            <w:r>
              <w:t>By the per-protocol analysis, t</w:t>
            </w:r>
            <w:r w:rsidR="00CC7F78">
              <w:t>he failure rate of the diagnostic algorithm, including patients with an initial negative CTPA, was 0.51% (95% CI 0.31-0.84%).</w:t>
            </w:r>
          </w:p>
          <w:p w14:paraId="7D322B5F" w14:textId="09897549" w:rsidR="00D816E9" w:rsidRPr="00C01384" w:rsidRDefault="00CC7F78" w:rsidP="00D816E9">
            <w:pPr>
              <w:pStyle w:val="ListParagraph"/>
              <w:numPr>
                <w:ilvl w:val="1"/>
                <w:numId w:val="1"/>
              </w:numPr>
              <w:rPr>
                <w:color w:val="FF0000"/>
              </w:rPr>
            </w:pPr>
            <w:r w:rsidRPr="00FC5F9A">
              <w:rPr>
                <w:color w:val="FF0000"/>
              </w:rPr>
              <w:t>The failure rate among patients managed without CT was 0.43% (95% CI 0.17-0.88%).</w:t>
            </w:r>
          </w:p>
        </w:tc>
      </w:tr>
      <w:tr w:rsidR="00E6037B" w14:paraId="4D5BAAB5" w14:textId="77777777" w:rsidTr="00C804FE">
        <w:trPr>
          <w:jc w:val="center"/>
        </w:trPr>
        <w:tc>
          <w:tcPr>
            <w:tcW w:w="1008" w:type="dxa"/>
          </w:tcPr>
          <w:p w14:paraId="6B2EA09B" w14:textId="15E6C3F7" w:rsidR="00E6037B" w:rsidRPr="00FC473C" w:rsidRDefault="00E6037B" w:rsidP="002905BB">
            <w:pPr>
              <w:rPr>
                <w:b/>
              </w:rPr>
            </w:pPr>
            <w:r w:rsidRPr="00FC473C">
              <w:rPr>
                <w:b/>
              </w:rPr>
              <w:t>III.</w:t>
            </w:r>
          </w:p>
        </w:tc>
        <w:tc>
          <w:tcPr>
            <w:tcW w:w="3294" w:type="dxa"/>
          </w:tcPr>
          <w:p w14:paraId="76D449F3" w14:textId="77777777" w:rsidR="00E6037B" w:rsidRPr="00FC473C" w:rsidRDefault="00E6037B" w:rsidP="002905BB">
            <w:pPr>
              <w:rPr>
                <w:b/>
              </w:rPr>
            </w:pPr>
            <w:r w:rsidRPr="00FC473C">
              <w:rPr>
                <w:b/>
              </w:rPr>
              <w:t>Has an impact analysis demonstrated change in clinical behavior or patient outcomes as a result of using the instrument?  (Level I).  If so, consider the following:</w:t>
            </w:r>
          </w:p>
        </w:tc>
        <w:tc>
          <w:tcPr>
            <w:tcW w:w="5526" w:type="dxa"/>
          </w:tcPr>
          <w:p w14:paraId="4925E1FE" w14:textId="77777777" w:rsidR="00E6037B" w:rsidRDefault="00E6037B" w:rsidP="002905BB"/>
        </w:tc>
      </w:tr>
      <w:tr w:rsidR="00E6037B" w14:paraId="10ACCA17" w14:textId="77777777" w:rsidTr="00C804FE">
        <w:trPr>
          <w:jc w:val="center"/>
        </w:trPr>
        <w:tc>
          <w:tcPr>
            <w:tcW w:w="1008" w:type="dxa"/>
          </w:tcPr>
          <w:p w14:paraId="50B0CF00" w14:textId="77777777" w:rsidR="00E6037B" w:rsidRDefault="00E6037B" w:rsidP="002905BB">
            <w:r>
              <w:t>1</w:t>
            </w:r>
          </w:p>
        </w:tc>
        <w:tc>
          <w:tcPr>
            <w:tcW w:w="3294" w:type="dxa"/>
          </w:tcPr>
          <w:p w14:paraId="2A020666" w14:textId="77777777" w:rsidR="00E6037B" w:rsidRDefault="00E6037B" w:rsidP="002905BB">
            <w:r>
              <w:t>How well did the study guard against bias in terms of differences at the start (concealed randomization, adjustment in analysis) or as the study proceeded (blinding, co-intervention, loss to follow-up)?</w:t>
            </w:r>
          </w:p>
        </w:tc>
        <w:tc>
          <w:tcPr>
            <w:tcW w:w="5526" w:type="dxa"/>
          </w:tcPr>
          <w:p w14:paraId="2ABC30E7" w14:textId="7FB21E08" w:rsidR="00E6037B" w:rsidRDefault="00C01384" w:rsidP="002905BB">
            <w:r>
              <w:t>This was a prospective study with low risk of missing data. While clinicians were not blinded to D-dimer results, theoretically they would have risk-stratified patients using the YEARS criteria separate from lab results or CTPA results. Radiologists were not specifically blinded to YEARS criteria or D-dimer results. Not all patients underwent CTPA, leading to a risk of partial verification bias.</w:t>
            </w:r>
          </w:p>
        </w:tc>
      </w:tr>
      <w:tr w:rsidR="00E6037B" w14:paraId="172F6BF6" w14:textId="77777777" w:rsidTr="00C804FE">
        <w:trPr>
          <w:jc w:val="center"/>
        </w:trPr>
        <w:tc>
          <w:tcPr>
            <w:tcW w:w="1008" w:type="dxa"/>
          </w:tcPr>
          <w:p w14:paraId="4FD1825C" w14:textId="77777777" w:rsidR="00E6037B" w:rsidRDefault="00E6037B" w:rsidP="002905BB">
            <w:r>
              <w:t>2</w:t>
            </w:r>
          </w:p>
        </w:tc>
        <w:tc>
          <w:tcPr>
            <w:tcW w:w="3294" w:type="dxa"/>
          </w:tcPr>
          <w:p w14:paraId="3382F17E" w14:textId="77777777" w:rsidR="00E6037B" w:rsidRDefault="00E6037B" w:rsidP="002905BB">
            <w:r>
              <w:t>What was the impact on clinician behavior and patient-important outcomes?</w:t>
            </w:r>
          </w:p>
        </w:tc>
        <w:tc>
          <w:tcPr>
            <w:tcW w:w="5526" w:type="dxa"/>
          </w:tcPr>
          <w:p w14:paraId="01A63036" w14:textId="77777777" w:rsidR="00C01384" w:rsidRPr="00C01384" w:rsidRDefault="00C01384" w:rsidP="00C01384">
            <w:pPr>
              <w:pStyle w:val="ListParagraph"/>
              <w:numPr>
                <w:ilvl w:val="0"/>
                <w:numId w:val="1"/>
              </w:numPr>
              <w:rPr>
                <w:color w:val="FF0000"/>
              </w:rPr>
            </w:pPr>
            <w:r>
              <w:t xml:space="preserve">Use of the YEARS algorithm theoretically reduced CTPA use by 13% (95% CI 10-15%) compared to use of the Well's rule and a D-dimer threshold of &lt; 500 </w:t>
            </w:r>
            <w:proofErr w:type="spellStart"/>
            <w:r>
              <w:t>ng</w:t>
            </w:r>
            <w:proofErr w:type="spellEnd"/>
            <w:r>
              <w:t>/</w:t>
            </w:r>
            <w:proofErr w:type="spellStart"/>
            <w:r>
              <w:t>mL.</w:t>
            </w:r>
          </w:p>
          <w:p w14:paraId="41774218" w14:textId="5F944BF3" w:rsidR="00E6037B" w:rsidRPr="00C01384" w:rsidRDefault="00C01384" w:rsidP="00C01384">
            <w:pPr>
              <w:pStyle w:val="ListParagraph"/>
              <w:numPr>
                <w:ilvl w:val="1"/>
                <w:numId w:val="1"/>
              </w:numPr>
              <w:rPr>
                <w:color w:val="FF0000"/>
              </w:rPr>
            </w:pPr>
            <w:proofErr w:type="spellEnd"/>
            <w:r>
              <w:lastRenderedPageBreak/>
              <w:t>Compared to the Well's rule and an age-adjusted D-dimer, the YEARS algorithm resulted in a theoretical 8.7% reduction in CTPA use (95% CI 6.4-11%).</w:t>
            </w:r>
          </w:p>
        </w:tc>
      </w:tr>
    </w:tbl>
    <w:p w14:paraId="75F59FF6" w14:textId="7D9668CC" w:rsidR="00264B04" w:rsidRDefault="00264B04" w:rsidP="00E002FC">
      <w:pPr>
        <w:jc w:val="center"/>
        <w:rPr>
          <w:b/>
          <w:sz w:val="28"/>
          <w:szCs w:val="28"/>
        </w:rPr>
      </w:pPr>
    </w:p>
    <w:p w14:paraId="0E3F5346" w14:textId="1DF8721C" w:rsidR="002905BB" w:rsidRDefault="002905BB" w:rsidP="002905BB">
      <w:pPr>
        <w:spacing w:before="240" w:after="240"/>
        <w:jc w:val="both"/>
        <w:rPr>
          <w:b/>
          <w:sz w:val="28"/>
          <w:szCs w:val="28"/>
          <w:u w:val="single"/>
        </w:rPr>
      </w:pPr>
      <w:r w:rsidRPr="002905BB">
        <w:rPr>
          <w:b/>
          <w:sz w:val="28"/>
          <w:szCs w:val="28"/>
          <w:u w:val="single"/>
        </w:rPr>
        <w:t>Limitations:</w:t>
      </w:r>
    </w:p>
    <w:p w14:paraId="1F7BDC8C" w14:textId="76753357" w:rsidR="0029066D" w:rsidRDefault="0029066D" w:rsidP="0029066D">
      <w:pPr>
        <w:pStyle w:val="ListParagraph"/>
        <w:numPr>
          <w:ilvl w:val="0"/>
          <w:numId w:val="2"/>
        </w:numPr>
        <w:spacing w:before="240" w:after="240"/>
        <w:contextualSpacing w:val="0"/>
        <w:jc w:val="both"/>
        <w:rPr>
          <w:b/>
          <w:sz w:val="28"/>
          <w:szCs w:val="28"/>
        </w:rPr>
      </w:pPr>
      <w:r w:rsidRPr="001D0AF6">
        <w:rPr>
          <w:b/>
          <w:sz w:val="28"/>
          <w:szCs w:val="28"/>
        </w:rPr>
        <w:t xml:space="preserve">The gold standard test (CTPA) was only </w:t>
      </w:r>
      <w:r>
        <w:rPr>
          <w:b/>
          <w:sz w:val="28"/>
          <w:szCs w:val="28"/>
        </w:rPr>
        <w:t xml:space="preserve">performed in 52% of the cohort </w:t>
      </w:r>
      <w:r w:rsidRPr="001D0AF6">
        <w:rPr>
          <w:b/>
          <w:sz w:val="28"/>
          <w:szCs w:val="28"/>
        </w:rPr>
        <w:t>(</w:t>
      </w:r>
      <w:hyperlink r:id="rId14" w:history="1">
        <w:r w:rsidRPr="001D0AF6">
          <w:rPr>
            <w:rStyle w:val="Hyperlink"/>
            <w:b/>
            <w:sz w:val="28"/>
            <w:szCs w:val="28"/>
          </w:rPr>
          <w:t>partial verification bias</w:t>
        </w:r>
      </w:hyperlink>
      <w:r w:rsidRPr="001D0AF6">
        <w:rPr>
          <w:b/>
          <w:sz w:val="28"/>
          <w:szCs w:val="28"/>
        </w:rPr>
        <w:t>).</w:t>
      </w:r>
    </w:p>
    <w:p w14:paraId="3FC5B9F6" w14:textId="7CB2BBD2" w:rsidR="0029066D" w:rsidRDefault="0029066D" w:rsidP="002905BB">
      <w:pPr>
        <w:pStyle w:val="ListParagraph"/>
        <w:numPr>
          <w:ilvl w:val="0"/>
          <w:numId w:val="2"/>
        </w:numPr>
        <w:spacing w:before="240" w:after="240"/>
        <w:contextualSpacing w:val="0"/>
        <w:jc w:val="both"/>
        <w:rPr>
          <w:b/>
          <w:sz w:val="28"/>
          <w:szCs w:val="28"/>
        </w:rPr>
      </w:pPr>
      <w:r>
        <w:rPr>
          <w:b/>
          <w:sz w:val="28"/>
          <w:szCs w:val="28"/>
        </w:rPr>
        <w:t xml:space="preserve">There is no mention of blinding of radiologists to clinical criteria or D-dimer results, raising the possibility of </w:t>
      </w:r>
      <w:hyperlink r:id="rId15" w:history="1">
        <w:r w:rsidRPr="00843F5B">
          <w:rPr>
            <w:rStyle w:val="Hyperlink"/>
            <w:b/>
            <w:sz w:val="28"/>
            <w:szCs w:val="28"/>
          </w:rPr>
          <w:t>incorporation bias</w:t>
        </w:r>
      </w:hyperlink>
      <w:r>
        <w:rPr>
          <w:b/>
          <w:sz w:val="28"/>
          <w:szCs w:val="28"/>
        </w:rPr>
        <w:t>.</w:t>
      </w:r>
    </w:p>
    <w:p w14:paraId="32BB5D51" w14:textId="521BEBE0" w:rsidR="00AC0314" w:rsidRDefault="00AC0314" w:rsidP="002905BB">
      <w:pPr>
        <w:pStyle w:val="ListParagraph"/>
        <w:numPr>
          <w:ilvl w:val="0"/>
          <w:numId w:val="2"/>
        </w:numPr>
        <w:spacing w:before="240" w:after="240"/>
        <w:contextualSpacing w:val="0"/>
        <w:jc w:val="both"/>
        <w:rPr>
          <w:b/>
          <w:sz w:val="28"/>
          <w:szCs w:val="28"/>
        </w:rPr>
      </w:pPr>
      <w:r>
        <w:rPr>
          <w:b/>
          <w:sz w:val="28"/>
          <w:szCs w:val="28"/>
        </w:rPr>
        <w:t>The authors do not mention who performed patient follow-up at 3 months, or whether such personnel were blinded to YEARS criteria or D-dimer results.</w:t>
      </w:r>
    </w:p>
    <w:p w14:paraId="40629305" w14:textId="74D3025A" w:rsidR="0029066D" w:rsidRPr="00C940A1" w:rsidRDefault="00FB3267" w:rsidP="002905BB">
      <w:pPr>
        <w:pStyle w:val="ListParagraph"/>
        <w:numPr>
          <w:ilvl w:val="0"/>
          <w:numId w:val="2"/>
        </w:numPr>
        <w:spacing w:before="240" w:after="240"/>
        <w:contextualSpacing w:val="0"/>
        <w:jc w:val="both"/>
        <w:rPr>
          <w:b/>
          <w:sz w:val="28"/>
          <w:szCs w:val="28"/>
        </w:rPr>
      </w:pPr>
      <w:r>
        <w:rPr>
          <w:b/>
          <w:sz w:val="28"/>
          <w:szCs w:val="28"/>
        </w:rPr>
        <w:t>This study was conducted at hospitals in the Netherlands. Further validation of these findings in disparate settings with racial diversity will be needed to confirm these results (</w:t>
      </w:r>
      <w:hyperlink r:id="rId16" w:history="1">
        <w:r w:rsidRPr="00FB3267">
          <w:rPr>
            <w:rStyle w:val="Hyperlink"/>
            <w:b/>
            <w:sz w:val="28"/>
            <w:szCs w:val="28"/>
          </w:rPr>
          <w:t>external validity</w:t>
        </w:r>
      </w:hyperlink>
      <w:r>
        <w:rPr>
          <w:b/>
          <w:sz w:val="28"/>
          <w:szCs w:val="28"/>
        </w:rPr>
        <w:t>).</w:t>
      </w:r>
    </w:p>
    <w:p w14:paraId="5F3E5F3B" w14:textId="25C0EF03" w:rsidR="002905BB" w:rsidRDefault="002905BB" w:rsidP="002905BB">
      <w:pPr>
        <w:spacing w:before="240" w:after="240"/>
        <w:jc w:val="both"/>
        <w:rPr>
          <w:b/>
          <w:sz w:val="28"/>
          <w:szCs w:val="28"/>
          <w:u w:val="single"/>
        </w:rPr>
      </w:pPr>
      <w:r w:rsidRPr="002905BB">
        <w:rPr>
          <w:b/>
          <w:sz w:val="28"/>
          <w:szCs w:val="28"/>
          <w:u w:val="single"/>
        </w:rPr>
        <w:t>Bottom Line:</w:t>
      </w:r>
    </w:p>
    <w:p w14:paraId="5EB8214E" w14:textId="1D9A1F02" w:rsidR="00C940A1" w:rsidRPr="007610CB" w:rsidRDefault="00C940A1" w:rsidP="00C940A1">
      <w:pPr>
        <w:spacing w:before="240" w:after="240"/>
        <w:jc w:val="both"/>
        <w:rPr>
          <w:b/>
          <w:sz w:val="28"/>
          <w:szCs w:val="28"/>
        </w:rPr>
      </w:pPr>
      <w:r w:rsidRPr="007610CB">
        <w:rPr>
          <w:b/>
          <w:sz w:val="28"/>
          <w:szCs w:val="28"/>
        </w:rPr>
        <w:t xml:space="preserve">In this </w:t>
      </w:r>
      <w:r>
        <w:rPr>
          <w:b/>
          <w:sz w:val="28"/>
          <w:szCs w:val="28"/>
        </w:rPr>
        <w:t>prospective multicenter study conducted in the Netherlands</w:t>
      </w:r>
      <w:r w:rsidRPr="007610CB">
        <w:rPr>
          <w:b/>
          <w:sz w:val="28"/>
          <w:szCs w:val="28"/>
        </w:rPr>
        <w:t xml:space="preserve">, </w:t>
      </w:r>
      <w:r>
        <w:rPr>
          <w:b/>
          <w:sz w:val="28"/>
          <w:szCs w:val="28"/>
        </w:rPr>
        <w:t>a</w:t>
      </w:r>
      <w:r w:rsidRPr="007610CB">
        <w:rPr>
          <w:b/>
          <w:sz w:val="28"/>
          <w:szCs w:val="28"/>
        </w:rPr>
        <w:t xml:space="preserve"> YEARS algorithm </w:t>
      </w:r>
      <w:r>
        <w:rPr>
          <w:b/>
          <w:sz w:val="28"/>
          <w:szCs w:val="28"/>
        </w:rPr>
        <w:t xml:space="preserve">using a </w:t>
      </w:r>
      <w:r w:rsidRPr="007610CB">
        <w:rPr>
          <w:b/>
          <w:sz w:val="28"/>
          <w:szCs w:val="28"/>
        </w:rPr>
        <w:t>D-dimer</w:t>
      </w:r>
      <w:r>
        <w:rPr>
          <w:b/>
          <w:sz w:val="28"/>
          <w:szCs w:val="28"/>
        </w:rPr>
        <w:t xml:space="preserve"> </w:t>
      </w:r>
      <w:proofErr w:type="spellStart"/>
      <w:r>
        <w:rPr>
          <w:b/>
          <w:sz w:val="28"/>
          <w:szCs w:val="28"/>
        </w:rPr>
        <w:t>theshold</w:t>
      </w:r>
      <w:proofErr w:type="spellEnd"/>
      <w:r>
        <w:rPr>
          <w:b/>
          <w:sz w:val="28"/>
          <w:szCs w:val="28"/>
        </w:rPr>
        <w:t xml:space="preserve"> of</w:t>
      </w:r>
      <w:r w:rsidRPr="007610CB">
        <w:rPr>
          <w:b/>
          <w:sz w:val="28"/>
          <w:szCs w:val="28"/>
        </w:rPr>
        <w:t xml:space="preserve"> &lt; 1000</w:t>
      </w:r>
      <w:r>
        <w:rPr>
          <w:b/>
          <w:sz w:val="28"/>
          <w:szCs w:val="28"/>
        </w:rPr>
        <w:t xml:space="preserve"> </w:t>
      </w:r>
      <w:proofErr w:type="spellStart"/>
      <w:r>
        <w:rPr>
          <w:b/>
          <w:sz w:val="28"/>
          <w:szCs w:val="28"/>
        </w:rPr>
        <w:t>ng</w:t>
      </w:r>
      <w:proofErr w:type="spellEnd"/>
      <w:r>
        <w:rPr>
          <w:b/>
          <w:sz w:val="28"/>
          <w:szCs w:val="28"/>
        </w:rPr>
        <w:t>/mL</w:t>
      </w:r>
      <w:r w:rsidRPr="007610CB">
        <w:rPr>
          <w:b/>
          <w:sz w:val="28"/>
          <w:szCs w:val="28"/>
        </w:rPr>
        <w:t xml:space="preserve"> in patients with 0 YEARS criteria and &lt; 500</w:t>
      </w:r>
      <w:r>
        <w:rPr>
          <w:b/>
          <w:sz w:val="28"/>
          <w:szCs w:val="28"/>
        </w:rPr>
        <w:t xml:space="preserve"> </w:t>
      </w:r>
      <w:proofErr w:type="spellStart"/>
      <w:r>
        <w:rPr>
          <w:b/>
          <w:sz w:val="28"/>
          <w:szCs w:val="28"/>
        </w:rPr>
        <w:t>ng</w:t>
      </w:r>
      <w:proofErr w:type="spellEnd"/>
      <w:r>
        <w:rPr>
          <w:b/>
          <w:sz w:val="28"/>
          <w:szCs w:val="28"/>
        </w:rPr>
        <w:t>/mL</w:t>
      </w:r>
      <w:r w:rsidRPr="007610CB">
        <w:rPr>
          <w:b/>
          <w:sz w:val="28"/>
          <w:szCs w:val="28"/>
        </w:rPr>
        <w:t xml:space="preserve"> in pa</w:t>
      </w:r>
      <w:r>
        <w:rPr>
          <w:b/>
          <w:sz w:val="28"/>
          <w:szCs w:val="28"/>
        </w:rPr>
        <w:t>tients 1 or more YEARS criteria resulted in a miss rate of 0.51% (95% CI 0.31-0.84%</w:t>
      </w:r>
      <w:r w:rsidRPr="007610CB">
        <w:rPr>
          <w:b/>
          <w:sz w:val="28"/>
          <w:szCs w:val="28"/>
        </w:rPr>
        <w:t>).</w:t>
      </w:r>
      <w:r>
        <w:rPr>
          <w:b/>
          <w:sz w:val="28"/>
          <w:szCs w:val="28"/>
        </w:rPr>
        <w:t xml:space="preserve"> Notably, CTPA was performed in 11 of the 18 cases of thromboembolism found in patients with a negative initial work-up.</w:t>
      </w:r>
      <w:r>
        <w:rPr>
          <w:b/>
          <w:sz w:val="28"/>
          <w:szCs w:val="28"/>
        </w:rPr>
        <w:t xml:space="preserve"> </w:t>
      </w:r>
      <w:r>
        <w:rPr>
          <w:b/>
          <w:sz w:val="28"/>
          <w:szCs w:val="28"/>
        </w:rPr>
        <w:t xml:space="preserve">This algorithm would theoretically have reduced CTPA performance by 13% compared to Well's criteria and a D-dimer &lt; 500 </w:t>
      </w:r>
      <w:proofErr w:type="spellStart"/>
      <w:r>
        <w:rPr>
          <w:b/>
          <w:sz w:val="28"/>
          <w:szCs w:val="28"/>
        </w:rPr>
        <w:t>ng</w:t>
      </w:r>
      <w:proofErr w:type="spellEnd"/>
      <w:r>
        <w:rPr>
          <w:b/>
          <w:sz w:val="28"/>
          <w:szCs w:val="28"/>
        </w:rPr>
        <w:t>/mL and by 8.7% compared to Well's criteria and an age-adjusted D-dimer.</w:t>
      </w:r>
      <w:bookmarkStart w:id="0" w:name="_GoBack"/>
      <w:bookmarkEnd w:id="0"/>
    </w:p>
    <w:p w14:paraId="5E0E1E95" w14:textId="77777777" w:rsidR="00C940A1" w:rsidRPr="00C940A1" w:rsidRDefault="00C940A1" w:rsidP="002905BB">
      <w:pPr>
        <w:spacing w:before="240" w:after="240"/>
        <w:jc w:val="both"/>
        <w:rPr>
          <w:b/>
          <w:sz w:val="28"/>
          <w:szCs w:val="28"/>
        </w:rPr>
      </w:pPr>
    </w:p>
    <w:sectPr w:rsidR="00C940A1" w:rsidRPr="00C940A1" w:rsidSect="0002330C">
      <w:footnotePr>
        <w:numFmt w:val="chicago"/>
      </w:footnotePr>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LancetPro">
    <w:altName w:val="ScalaLancetPro"/>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25D9F"/>
    <w:multiLevelType w:val="hybridMultilevel"/>
    <w:tmpl w:val="B4A0D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D921F58"/>
    <w:multiLevelType w:val="hybridMultilevel"/>
    <w:tmpl w:val="59D46EE6"/>
    <w:lvl w:ilvl="0" w:tplc="F4CA8848">
      <w:start w:val="1"/>
      <w:numFmt w:val="bullet"/>
      <w:lvlText w:val=""/>
      <w:lvlJc w:val="left"/>
      <w:pPr>
        <w:ind w:left="360" w:hanging="360"/>
      </w:pPr>
      <w:rPr>
        <w:rFonts w:ascii="Symbol" w:hAnsi="Symbol" w:hint="default"/>
        <w:color w:val="auto"/>
      </w:rPr>
    </w:lvl>
    <w:lvl w:ilvl="1" w:tplc="2C681C6C">
      <w:start w:val="1"/>
      <w:numFmt w:val="bullet"/>
      <w:lvlText w:val="o"/>
      <w:lvlJc w:val="left"/>
      <w:pPr>
        <w:ind w:left="1080" w:hanging="360"/>
      </w:pPr>
      <w:rPr>
        <w:rFonts w:ascii="Courier New" w:hAnsi="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8F"/>
    <w:rsid w:val="0002330C"/>
    <w:rsid w:val="00071A2F"/>
    <w:rsid w:val="000E6115"/>
    <w:rsid w:val="00264B04"/>
    <w:rsid w:val="00285455"/>
    <w:rsid w:val="002905BB"/>
    <w:rsid w:val="0029066D"/>
    <w:rsid w:val="003F388F"/>
    <w:rsid w:val="004E3C71"/>
    <w:rsid w:val="00535B37"/>
    <w:rsid w:val="005A4371"/>
    <w:rsid w:val="005F5E96"/>
    <w:rsid w:val="00624137"/>
    <w:rsid w:val="00686E4E"/>
    <w:rsid w:val="006B1434"/>
    <w:rsid w:val="007B1A43"/>
    <w:rsid w:val="007F74B5"/>
    <w:rsid w:val="008208FC"/>
    <w:rsid w:val="00861BD9"/>
    <w:rsid w:val="00A843A5"/>
    <w:rsid w:val="00AA4025"/>
    <w:rsid w:val="00AC0314"/>
    <w:rsid w:val="00B17159"/>
    <w:rsid w:val="00BA6260"/>
    <w:rsid w:val="00BE710C"/>
    <w:rsid w:val="00C01384"/>
    <w:rsid w:val="00C804FE"/>
    <w:rsid w:val="00C940A1"/>
    <w:rsid w:val="00CC7F78"/>
    <w:rsid w:val="00D45CE4"/>
    <w:rsid w:val="00D816E9"/>
    <w:rsid w:val="00E002FC"/>
    <w:rsid w:val="00E03064"/>
    <w:rsid w:val="00E6037B"/>
    <w:rsid w:val="00FB3267"/>
    <w:rsid w:val="00FC473C"/>
    <w:rsid w:val="00FC5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D9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0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02330C"/>
    <w:rPr>
      <w:sz w:val="20"/>
      <w:szCs w:val="20"/>
    </w:rPr>
  </w:style>
  <w:style w:type="character" w:styleId="FootnoteReference">
    <w:name w:val="footnote reference"/>
    <w:basedOn w:val="DefaultParagraphFont"/>
    <w:semiHidden/>
    <w:rsid w:val="0002330C"/>
    <w:rPr>
      <w:vertAlign w:val="superscript"/>
    </w:rPr>
  </w:style>
  <w:style w:type="character" w:styleId="Hyperlink">
    <w:name w:val="Hyperlink"/>
    <w:basedOn w:val="DefaultParagraphFont"/>
    <w:uiPriority w:val="99"/>
    <w:unhideWhenUsed/>
    <w:rsid w:val="00E03064"/>
    <w:rPr>
      <w:color w:val="0563C1" w:themeColor="hyperlink"/>
      <w:u w:val="single"/>
    </w:rPr>
  </w:style>
  <w:style w:type="paragraph" w:styleId="ListParagraph">
    <w:name w:val="List Paragraph"/>
    <w:basedOn w:val="Normal"/>
    <w:uiPriority w:val="34"/>
    <w:qFormat/>
    <w:rsid w:val="00CC7F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0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02330C"/>
    <w:rPr>
      <w:sz w:val="20"/>
      <w:szCs w:val="20"/>
    </w:rPr>
  </w:style>
  <w:style w:type="character" w:styleId="FootnoteReference">
    <w:name w:val="footnote reference"/>
    <w:basedOn w:val="DefaultParagraphFont"/>
    <w:semiHidden/>
    <w:rsid w:val="0002330C"/>
    <w:rPr>
      <w:vertAlign w:val="superscript"/>
    </w:rPr>
  </w:style>
  <w:style w:type="character" w:styleId="Hyperlink">
    <w:name w:val="Hyperlink"/>
    <w:basedOn w:val="DefaultParagraphFont"/>
    <w:uiPriority w:val="99"/>
    <w:unhideWhenUsed/>
    <w:rsid w:val="00E03064"/>
    <w:rPr>
      <w:color w:val="0563C1" w:themeColor="hyperlink"/>
      <w:u w:val="single"/>
    </w:rPr>
  </w:style>
  <w:style w:type="paragraph" w:styleId="ListParagraph">
    <w:name w:val="List Paragraph"/>
    <w:basedOn w:val="Normal"/>
    <w:uiPriority w:val="34"/>
    <w:qFormat/>
    <w:rsid w:val="00CC7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maj.ca/content/173/4/385.full.pdf" TargetMode="External"/><Relationship Id="rId12" Type="http://schemas.openxmlformats.org/officeDocument/2006/relationships/hyperlink" Target="https://first10em.com/ebm/incorporation-bias/" TargetMode="External"/><Relationship Id="rId13" Type="http://schemas.openxmlformats.org/officeDocument/2006/relationships/hyperlink" Target="https://www.youtube.com/watch?v=qIFbU84IfmI" TargetMode="External"/><Relationship Id="rId14" Type="http://schemas.openxmlformats.org/officeDocument/2006/relationships/hyperlink" Target="https://www.youtube.com/watch?v=qIFbU84IfmI" TargetMode="External"/><Relationship Id="rId15" Type="http://schemas.openxmlformats.org/officeDocument/2006/relationships/hyperlink" Target="https://first10em.com/ebm/incorporation-bias/" TargetMode="External"/><Relationship Id="rId16" Type="http://schemas.openxmlformats.org/officeDocument/2006/relationships/hyperlink" Target="http://www.epmonthly.com/archives/features/understanding-external-validity/"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mid.us/28549662" TargetMode="External"/><Relationship Id="rId7" Type="http://schemas.openxmlformats.org/officeDocument/2006/relationships/hyperlink" Target="http://pmid.us/28549662" TargetMode="External"/><Relationship Id="rId8" Type="http://schemas.openxmlformats.org/officeDocument/2006/relationships/hyperlink" Target="https://www.mdcalc.com/years-algorithm-pulmonary-embolism-pe" TargetMode="External"/><Relationship Id="rId9" Type="http://schemas.openxmlformats.org/officeDocument/2006/relationships/hyperlink" Target="https://www.mdcalc.com/wells-criteria-pulmonary-embolism" TargetMode="External"/><Relationship Id="rId10" Type="http://schemas.openxmlformats.org/officeDocument/2006/relationships/hyperlink" Target="https://www.analyticsvidhya.com/blog/2016/06/bayesian-statistics-beginners-simple-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1360</Words>
  <Characters>7752</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Guide</vt:lpstr>
    </vt:vector>
  </TitlesOfParts>
  <Company>WUMS</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dc:title>
  <dc:subject/>
  <dc:creator>carpentc</dc:creator>
  <cp:keywords/>
  <dc:description/>
  <cp:lastModifiedBy>Brian Cohn</cp:lastModifiedBy>
  <cp:revision>25</cp:revision>
  <cp:lastPrinted>2004-07-26T17:57:00Z</cp:lastPrinted>
  <dcterms:created xsi:type="dcterms:W3CDTF">2020-03-13T23:05:00Z</dcterms:created>
  <dcterms:modified xsi:type="dcterms:W3CDTF">2022-02-24T02:26:00Z</dcterms:modified>
</cp:coreProperties>
</file>