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70E45" w14:textId="77777777" w:rsidR="00CA1B9E" w:rsidRDefault="00BC317C" w:rsidP="00CA1B9E">
      <w:pPr>
        <w:jc w:val="both"/>
        <w:rPr>
          <w:b/>
          <w:sz w:val="28"/>
          <w:szCs w:val="28"/>
        </w:rPr>
      </w:pPr>
      <w:r>
        <w:rPr>
          <w:noProof/>
        </w:rPr>
        <mc:AlternateContent>
          <mc:Choice Requires="wps">
            <w:drawing>
              <wp:anchor distT="0" distB="0" distL="114300" distR="114300" simplePos="0" relativeHeight="251659264" behindDoc="0" locked="0" layoutInCell="1" allowOverlap="1" wp14:anchorId="79C3E152" wp14:editId="6E222FA2">
                <wp:simplePos x="0" y="0"/>
                <wp:positionH relativeFrom="column">
                  <wp:posOffset>188595</wp:posOffset>
                </wp:positionH>
                <wp:positionV relativeFrom="paragraph">
                  <wp:posOffset>0</wp:posOffset>
                </wp:positionV>
                <wp:extent cx="5949315" cy="1371600"/>
                <wp:effectExtent l="0" t="0" r="1968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9315" cy="1371600"/>
                        </a:xfrm>
                        <a:prstGeom prst="rect">
                          <a:avLst/>
                        </a:prstGeom>
                        <a:solidFill>
                          <a:srgbClr val="FFFFFF"/>
                        </a:solidFill>
                        <a:ln w="9525">
                          <a:solidFill>
                            <a:srgbClr val="000000"/>
                          </a:solidFill>
                          <a:miter lim="800000"/>
                          <a:headEnd/>
                          <a:tailEnd/>
                        </a:ln>
                      </wps:spPr>
                      <wps:txbx>
                        <w:txbxContent>
                          <w:p w14:paraId="11F4A693" w14:textId="77777777" w:rsidR="003F1106" w:rsidRDefault="003F1106" w:rsidP="00E6037B">
                            <w:pPr>
                              <w:jc w:val="center"/>
                              <w:rPr>
                                <w:b/>
                                <w:sz w:val="28"/>
                                <w:szCs w:val="28"/>
                              </w:rPr>
                            </w:pPr>
                            <w:r>
                              <w:rPr>
                                <w:b/>
                                <w:sz w:val="28"/>
                                <w:szCs w:val="28"/>
                              </w:rPr>
                              <w:t>Critical Review Form</w:t>
                            </w:r>
                          </w:p>
                          <w:p w14:paraId="71A71769" w14:textId="77777777" w:rsidR="003F1106" w:rsidRDefault="003F1106" w:rsidP="00E6037B">
                            <w:pPr>
                              <w:jc w:val="center"/>
                              <w:rPr>
                                <w:b/>
                                <w:sz w:val="28"/>
                                <w:szCs w:val="28"/>
                              </w:rPr>
                            </w:pPr>
                            <w:r w:rsidRPr="00E002FC">
                              <w:rPr>
                                <w:b/>
                                <w:sz w:val="28"/>
                                <w:szCs w:val="28"/>
                              </w:rPr>
                              <w:t xml:space="preserve">  Clinical Prediction or Decision Rule</w:t>
                            </w:r>
                          </w:p>
                          <w:p w14:paraId="21F7A3ED" w14:textId="77777777" w:rsidR="003F1106" w:rsidRDefault="003F1106" w:rsidP="00E6037B">
                            <w:pPr>
                              <w:jc w:val="center"/>
                              <w:rPr>
                                <w:b/>
                                <w:sz w:val="28"/>
                                <w:szCs w:val="28"/>
                              </w:rPr>
                            </w:pPr>
                          </w:p>
                          <w:p w14:paraId="34586DAD" w14:textId="1739F50F" w:rsidR="003F1106" w:rsidRPr="00BC317C" w:rsidRDefault="000A576E" w:rsidP="00E6037B">
                            <w:pPr>
                              <w:jc w:val="center"/>
                              <w:rPr>
                                <w:b/>
                                <w:sz w:val="28"/>
                                <w:szCs w:val="28"/>
                              </w:rPr>
                            </w:pPr>
                            <w:hyperlink r:id="rId6" w:history="1">
                              <w:r w:rsidR="003F1106" w:rsidRPr="00BC317C">
                                <w:rPr>
                                  <w:color w:val="000087"/>
                                  <w:sz w:val="28"/>
                                  <w:szCs w:val="28"/>
                                  <w:u w:val="single" w:color="000087"/>
                                </w:rPr>
                                <w:t>Eddy M, Robert-</w:t>
                              </w:r>
                              <w:proofErr w:type="spellStart"/>
                              <w:r w:rsidR="003F1106" w:rsidRPr="00BC317C">
                                <w:rPr>
                                  <w:color w:val="000087"/>
                                  <w:sz w:val="28"/>
                                  <w:szCs w:val="28"/>
                                  <w:u w:val="single" w:color="000087"/>
                                </w:rPr>
                                <w:t>Ebadi</w:t>
                              </w:r>
                              <w:proofErr w:type="spellEnd"/>
                              <w:r w:rsidR="003F1106" w:rsidRPr="00BC317C">
                                <w:rPr>
                                  <w:color w:val="000087"/>
                                  <w:sz w:val="28"/>
                                  <w:szCs w:val="28"/>
                                  <w:u w:val="single" w:color="000087"/>
                                </w:rPr>
                                <w:t xml:space="preserve"> H, Richardson L, et al. External validation of the YEARS diagnostic algorithm for suspected pulmonary embolism. J </w:t>
                              </w:r>
                              <w:proofErr w:type="spellStart"/>
                              <w:r w:rsidR="003F1106" w:rsidRPr="00BC317C">
                                <w:rPr>
                                  <w:color w:val="000087"/>
                                  <w:sz w:val="28"/>
                                  <w:szCs w:val="28"/>
                                  <w:u w:val="single" w:color="000087"/>
                                </w:rPr>
                                <w:t>Thromb</w:t>
                              </w:r>
                              <w:proofErr w:type="spellEnd"/>
                              <w:r w:rsidR="003F1106" w:rsidRPr="00BC317C">
                                <w:rPr>
                                  <w:color w:val="000087"/>
                                  <w:sz w:val="28"/>
                                  <w:szCs w:val="28"/>
                                  <w:u w:val="single" w:color="000087"/>
                                </w:rPr>
                                <w:t xml:space="preserve"> </w:t>
                              </w:r>
                              <w:proofErr w:type="spellStart"/>
                              <w:r w:rsidR="003F1106" w:rsidRPr="00BC317C">
                                <w:rPr>
                                  <w:color w:val="000087"/>
                                  <w:sz w:val="28"/>
                                  <w:szCs w:val="28"/>
                                  <w:u w:val="single" w:color="000087"/>
                                </w:rPr>
                                <w:t>Haemost</w:t>
                              </w:r>
                              <w:proofErr w:type="spellEnd"/>
                              <w:r w:rsidR="003F1106" w:rsidRPr="00BC317C">
                                <w:rPr>
                                  <w:color w:val="000087"/>
                                  <w:sz w:val="28"/>
                                  <w:szCs w:val="28"/>
                                  <w:u w:val="single" w:color="000087"/>
                                </w:rPr>
                                <w:t>. 2020 Dec;18(12):3289-3295.</w:t>
                              </w:r>
                            </w:hyperlink>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85pt;margin-top:0;width:468.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">
                <v:path arrowok="t"/>
                <v:textbox>
                  <w:txbxContent>
                    <w:p w14:paraId="11F4A693" w14:textId="77777777" w:rsidR="003F1106" w:rsidRDefault="003F1106" w:rsidP="00E6037B">
                      <w:pPr>
                        <w:jc w:val="center"/>
                        <w:rPr>
                          <w:b/>
                          <w:sz w:val="28"/>
                          <w:szCs w:val="28"/>
                        </w:rPr>
                      </w:pPr>
                      <w:r>
                        <w:rPr>
                          <w:b/>
                          <w:sz w:val="28"/>
                          <w:szCs w:val="28"/>
                        </w:rPr>
                        <w:t>Critical Review Form</w:t>
                      </w:r>
                    </w:p>
                    <w:p w14:paraId="71A71769" w14:textId="77777777" w:rsidR="003F1106" w:rsidRDefault="003F1106" w:rsidP="00E6037B">
                      <w:pPr>
                        <w:jc w:val="center"/>
                        <w:rPr>
                          <w:b/>
                          <w:sz w:val="28"/>
                          <w:szCs w:val="28"/>
                        </w:rPr>
                      </w:pPr>
                      <w:r w:rsidRPr="00E002FC">
                        <w:rPr>
                          <w:b/>
                          <w:sz w:val="28"/>
                          <w:szCs w:val="28"/>
                        </w:rPr>
                        <w:t xml:space="preserve">  Clinical Prediction or Decision Rule</w:t>
                      </w:r>
                    </w:p>
                    <w:p w14:paraId="21F7A3ED" w14:textId="77777777" w:rsidR="003F1106" w:rsidRDefault="003F1106" w:rsidP="00E6037B">
                      <w:pPr>
                        <w:jc w:val="center"/>
                        <w:rPr>
                          <w:b/>
                          <w:sz w:val="28"/>
                          <w:szCs w:val="28"/>
                        </w:rPr>
                      </w:pPr>
                    </w:p>
                    <w:p w14:paraId="34586DAD" w14:textId="1739F50F" w:rsidR="003F1106" w:rsidRPr="00BC317C" w:rsidRDefault="000A576E" w:rsidP="00E6037B">
                      <w:pPr>
                        <w:jc w:val="center"/>
                        <w:rPr>
                          <w:b/>
                          <w:sz w:val="28"/>
                          <w:szCs w:val="28"/>
                        </w:rPr>
                      </w:pPr>
                      <w:hyperlink r:id="rId7" w:history="1">
                        <w:r w:rsidR="003F1106" w:rsidRPr="00BC317C">
                          <w:rPr>
                            <w:color w:val="000087"/>
                            <w:sz w:val="28"/>
                            <w:szCs w:val="28"/>
                            <w:u w:val="single" w:color="000087"/>
                          </w:rPr>
                          <w:t>Eddy M, Robert-</w:t>
                        </w:r>
                        <w:proofErr w:type="spellStart"/>
                        <w:r w:rsidR="003F1106" w:rsidRPr="00BC317C">
                          <w:rPr>
                            <w:color w:val="000087"/>
                            <w:sz w:val="28"/>
                            <w:szCs w:val="28"/>
                            <w:u w:val="single" w:color="000087"/>
                          </w:rPr>
                          <w:t>Ebadi</w:t>
                        </w:r>
                        <w:proofErr w:type="spellEnd"/>
                        <w:r w:rsidR="003F1106" w:rsidRPr="00BC317C">
                          <w:rPr>
                            <w:color w:val="000087"/>
                            <w:sz w:val="28"/>
                            <w:szCs w:val="28"/>
                            <w:u w:val="single" w:color="000087"/>
                          </w:rPr>
                          <w:t xml:space="preserve"> H, Richardson L, et al. External validation of the YEARS diagnostic algorithm for suspected pulmonary embolism. J </w:t>
                        </w:r>
                        <w:proofErr w:type="spellStart"/>
                        <w:r w:rsidR="003F1106" w:rsidRPr="00BC317C">
                          <w:rPr>
                            <w:color w:val="000087"/>
                            <w:sz w:val="28"/>
                            <w:szCs w:val="28"/>
                            <w:u w:val="single" w:color="000087"/>
                          </w:rPr>
                          <w:t>Thromb</w:t>
                        </w:r>
                        <w:proofErr w:type="spellEnd"/>
                        <w:r w:rsidR="003F1106" w:rsidRPr="00BC317C">
                          <w:rPr>
                            <w:color w:val="000087"/>
                            <w:sz w:val="28"/>
                            <w:szCs w:val="28"/>
                            <w:u w:val="single" w:color="000087"/>
                          </w:rPr>
                          <w:t xml:space="preserve"> </w:t>
                        </w:r>
                        <w:proofErr w:type="spellStart"/>
                        <w:r w:rsidR="003F1106" w:rsidRPr="00BC317C">
                          <w:rPr>
                            <w:color w:val="000087"/>
                            <w:sz w:val="28"/>
                            <w:szCs w:val="28"/>
                            <w:u w:val="single" w:color="000087"/>
                          </w:rPr>
                          <w:t>Haemost</w:t>
                        </w:r>
                        <w:proofErr w:type="spellEnd"/>
                        <w:r w:rsidR="003F1106" w:rsidRPr="00BC317C">
                          <w:rPr>
                            <w:color w:val="000087"/>
                            <w:sz w:val="28"/>
                            <w:szCs w:val="28"/>
                            <w:u w:val="single" w:color="000087"/>
                          </w:rPr>
                          <w:t>. 2020 Dec;18(12):3289-3295.</w:t>
                        </w:r>
                      </w:hyperlink>
                      <w:bookmarkStart w:id="1" w:name="_GoBack"/>
                      <w:bookmarkEnd w:id="1"/>
                    </w:p>
                  </w:txbxContent>
                </v:textbox>
                <w10:wrap type="square"/>
              </v:shape>
            </w:pict>
          </mc:Fallback>
        </mc:AlternateContent>
      </w:r>
      <w:r w:rsidR="004E3C71">
        <w:rPr>
          <w:noProof/>
        </w:rPr>
        <mc:AlternateContent>
          <mc:Choice Requires="wps">
            <w:drawing>
              <wp:anchor distT="0" distB="0" distL="114300" distR="114300" simplePos="0" relativeHeight="251660288" behindDoc="0" locked="0" layoutInCell="1" allowOverlap="1" wp14:anchorId="3F485022" wp14:editId="3361B7DE">
                <wp:simplePos x="0" y="0"/>
                <wp:positionH relativeFrom="column">
                  <wp:posOffset>6284595</wp:posOffset>
                </wp:positionH>
                <wp:positionV relativeFrom="paragraph">
                  <wp:posOffset>-5715</wp:posOffset>
                </wp:positionV>
                <wp:extent cx="743712" cy="2804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743712" cy="280416"/>
                        </a:xfrm>
                        <a:prstGeom prst="rect">
                          <a:avLst/>
                        </a:prstGeom>
                        <a:solidFill>
                          <a:schemeClr val="lt1"/>
                        </a:solidFill>
                        <a:ln w="6350">
                          <a:solidFill>
                            <a:prstClr val="black"/>
                          </a:solidFill>
                        </a:ln>
                      </wps:spPr>
                      <wps:txbx>
                        <w:txbxContent>
                          <w:p w14:paraId="3D1126BC" w14:textId="2A2F40C2" w:rsidR="003F1106" w:rsidRDefault="003F1106">
                            <w:r>
                              <w:t>PGY-3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94.85pt;margin-top:-.4pt;width:58.55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" fillcolor="white [3201]" strokeweight=".5pt">
                <v:textbox>
                  <w:txbxContent>
                    <w:p w14:paraId="3D1126BC" w14:textId="2A2F40C2" w:rsidR="003F1106" w:rsidRDefault="003F1106">
                      <w:r>
                        <w:t>PGY-3</w:t>
                      </w:r>
                    </w:p>
                  </w:txbxContent>
                </v:textbox>
              </v:shape>
            </w:pict>
          </mc:Fallback>
        </mc:AlternateContent>
      </w:r>
    </w:p>
    <w:p w14:paraId="08C515D4" w14:textId="77777777" w:rsidR="00A43C83" w:rsidRPr="00A43C83" w:rsidRDefault="00A43C83" w:rsidP="00A43C83">
      <w:pPr>
        <w:jc w:val="both"/>
        <w:rPr>
          <w:b/>
          <w:color w:val="000000"/>
          <w:sz w:val="28"/>
          <w:szCs w:val="28"/>
        </w:rPr>
      </w:pPr>
      <w:r w:rsidRPr="00A43C83">
        <w:rPr>
          <w:b/>
          <w:color w:val="000000"/>
          <w:sz w:val="28"/>
          <w:szCs w:val="28"/>
          <w:u w:val="single"/>
        </w:rPr>
        <w:t>Objectives:</w:t>
      </w:r>
      <w:r w:rsidRPr="00A43C83">
        <w:rPr>
          <w:b/>
          <w:color w:val="000000"/>
          <w:sz w:val="28"/>
          <w:szCs w:val="28"/>
        </w:rPr>
        <w:t xml:space="preserve"> "In the YEARS study, a simplified diagnostic strategy was proposed in which three clinical elements of the Wells score were used along with differential D-dimer cutoff values...before recommending the use of this simplified management strategy in a clinical setting, further external validation with use of an independent cohort was lacking. We aimed to fill this knowledge gap by conducting a post hoc analysis of previous PE diagnostic studies." (p. 3290)</w:t>
      </w:r>
    </w:p>
    <w:p w14:paraId="0BE32A34" w14:textId="77777777" w:rsidR="00A43C83" w:rsidRPr="00A43C83" w:rsidRDefault="00A43C83" w:rsidP="00A43C83">
      <w:pPr>
        <w:jc w:val="both"/>
        <w:rPr>
          <w:b/>
          <w:color w:val="000000"/>
          <w:sz w:val="28"/>
          <w:szCs w:val="28"/>
        </w:rPr>
      </w:pPr>
    </w:p>
    <w:p w14:paraId="24D6CB9C" w14:textId="793F1155" w:rsidR="00A43C83" w:rsidRPr="00A43C83" w:rsidRDefault="00A43C83" w:rsidP="00A43C83">
      <w:pPr>
        <w:jc w:val="both"/>
        <w:rPr>
          <w:b/>
          <w:color w:val="000000"/>
          <w:sz w:val="28"/>
          <w:szCs w:val="28"/>
        </w:rPr>
      </w:pPr>
      <w:r w:rsidRPr="00A43C83">
        <w:rPr>
          <w:b/>
          <w:color w:val="000000"/>
          <w:sz w:val="28"/>
          <w:szCs w:val="28"/>
          <w:u w:val="single"/>
        </w:rPr>
        <w:t>Methods:</w:t>
      </w:r>
      <w:r w:rsidRPr="00A43C83">
        <w:rPr>
          <w:b/>
          <w:color w:val="000000"/>
          <w:sz w:val="28"/>
          <w:szCs w:val="28"/>
        </w:rPr>
        <w:t xml:space="preserve"> This retrospective analysis included prospectively collected data from 3 outcomes studies conducted</w:t>
      </w:r>
      <w:r w:rsidR="001B1594">
        <w:rPr>
          <w:b/>
          <w:color w:val="000000"/>
          <w:sz w:val="28"/>
          <w:szCs w:val="28"/>
        </w:rPr>
        <w:t xml:space="preserve"> at</w:t>
      </w:r>
      <w:r w:rsidRPr="00A43C83">
        <w:rPr>
          <w:b/>
          <w:color w:val="000000"/>
          <w:sz w:val="28"/>
          <w:szCs w:val="28"/>
        </w:rPr>
        <w:t xml:space="preserve"> multiple sites in Belgium, France, and Switzerland. The studies were conducted between October 2000 and June 2002, August 2002 and November 2003, and January 2005 and August 2006. In these studies, consecutive patients presenting to the ED were eligible for inclusion if there was a clinical suspicion for PE due to acute onset of new or worsening shortness of breath or chest pain without another obvious etiology. Clinical probability was assessed using the </w:t>
      </w:r>
      <w:r w:rsidR="000A576E">
        <w:fldChar w:fldCharType="begin"/>
      </w:r>
      <w:r w:rsidR="000A576E">
        <w:instrText xml:space="preserve"> HYPERLINK "https://www.wikidoc.org/index.php/Geneva_score_calculator" \t "_blank" \o "https://www.wikidoc.org/index.php/Geneva_score_calculator" </w:instrText>
      </w:r>
      <w:r w:rsidR="000A576E">
        <w:fldChar w:fldCharType="separate"/>
      </w:r>
      <w:r w:rsidRPr="00A43C83">
        <w:rPr>
          <w:b/>
          <w:color w:val="0000FF"/>
          <w:sz w:val="28"/>
          <w:szCs w:val="28"/>
          <w:u w:val="single"/>
        </w:rPr>
        <w:t>Geneva score</w:t>
      </w:r>
      <w:r w:rsidR="000A576E">
        <w:rPr>
          <w:b/>
          <w:color w:val="0000FF"/>
          <w:sz w:val="28"/>
          <w:szCs w:val="28"/>
          <w:u w:val="single"/>
        </w:rPr>
        <w:fldChar w:fldCharType="end"/>
      </w:r>
      <w:r w:rsidRPr="00A43C83">
        <w:rPr>
          <w:b/>
          <w:color w:val="000000"/>
          <w:sz w:val="28"/>
          <w:szCs w:val="28"/>
        </w:rPr>
        <w:t xml:space="preserve"> in two of the studies and the </w:t>
      </w:r>
      <w:r w:rsidR="000A576E">
        <w:fldChar w:fldCharType="begin"/>
      </w:r>
      <w:r w:rsidR="000A576E">
        <w:instrText xml:space="preserve"> HYPERLINK "https://www.mdcalc.com/geneva-score-revised-pulmonary-embolism" \t "_blank" \o "https://www.mdcalc.com/geneva-score-revised-pulmonary-embolism" </w:instrText>
      </w:r>
      <w:r w:rsidR="000A576E">
        <w:fldChar w:fldCharType="separate"/>
      </w:r>
      <w:r w:rsidRPr="00A43C83">
        <w:rPr>
          <w:b/>
          <w:color w:val="0000FF"/>
          <w:sz w:val="28"/>
          <w:szCs w:val="28"/>
          <w:u w:val="single"/>
        </w:rPr>
        <w:t>modified Geneva score</w:t>
      </w:r>
      <w:r w:rsidR="000A576E">
        <w:rPr>
          <w:b/>
          <w:color w:val="0000FF"/>
          <w:sz w:val="28"/>
          <w:szCs w:val="28"/>
          <w:u w:val="single"/>
        </w:rPr>
        <w:fldChar w:fldCharType="end"/>
      </w:r>
      <w:r w:rsidRPr="00A43C83">
        <w:rPr>
          <w:b/>
          <w:color w:val="000000"/>
          <w:sz w:val="28"/>
          <w:szCs w:val="28"/>
        </w:rPr>
        <w:t xml:space="preserve"> in the third study. In addition to data from these clinical scores, all three of the </w:t>
      </w:r>
      <w:r w:rsidR="000A576E">
        <w:fldChar w:fldCharType="begin"/>
      </w:r>
      <w:r w:rsidR="000A576E">
        <w:instrText xml:space="preserve"> HYPERLINK "https://www.mdcalc.com/years-algorithm-pulmonary-embolism-pe" \t "_blank" \o "https://www.mdcalc.com/years-algorithm-pulmonary-embolism-pe" </w:instrText>
      </w:r>
      <w:r w:rsidR="000A576E">
        <w:fldChar w:fldCharType="separate"/>
      </w:r>
      <w:r w:rsidRPr="00A43C83">
        <w:rPr>
          <w:b/>
          <w:color w:val="0000FF"/>
          <w:sz w:val="28"/>
          <w:szCs w:val="28"/>
          <w:u w:val="single"/>
        </w:rPr>
        <w:t>YEARS criteria</w:t>
      </w:r>
      <w:r w:rsidR="000A576E">
        <w:rPr>
          <w:b/>
          <w:color w:val="0000FF"/>
          <w:sz w:val="28"/>
          <w:szCs w:val="28"/>
          <w:u w:val="single"/>
        </w:rPr>
        <w:fldChar w:fldCharType="end"/>
      </w:r>
      <w:r w:rsidRPr="00A43C83">
        <w:rPr>
          <w:b/>
          <w:color w:val="000000"/>
          <w:sz w:val="28"/>
          <w:szCs w:val="28"/>
        </w:rPr>
        <w:t xml:space="preserve"> (including "PE most likely diagnosis") and D-dimer levels were part of prospectively collected data in all three of the studies.</w:t>
      </w:r>
    </w:p>
    <w:p w14:paraId="5F4DD46B" w14:textId="77777777" w:rsidR="00A43C83" w:rsidRPr="00A43C83" w:rsidRDefault="00A43C83" w:rsidP="00A43C83">
      <w:pPr>
        <w:jc w:val="both"/>
        <w:rPr>
          <w:b/>
          <w:color w:val="000000"/>
          <w:sz w:val="28"/>
          <w:szCs w:val="28"/>
        </w:rPr>
      </w:pPr>
    </w:p>
    <w:p w14:paraId="47DB0847" w14:textId="77777777" w:rsidR="00A43C83" w:rsidRPr="00A43C83" w:rsidRDefault="00A43C83" w:rsidP="00A43C83">
      <w:pPr>
        <w:jc w:val="both"/>
        <w:rPr>
          <w:b/>
          <w:color w:val="000000"/>
          <w:sz w:val="28"/>
          <w:szCs w:val="28"/>
        </w:rPr>
      </w:pPr>
      <w:r w:rsidRPr="00A43C83">
        <w:rPr>
          <w:b/>
          <w:color w:val="000000"/>
          <w:sz w:val="28"/>
          <w:szCs w:val="28"/>
        </w:rPr>
        <w:t xml:space="preserve">In patients with no YEARS criteria, the authors evaluated the diagnostic accuracy and potential impact of both a D-dimer &lt; 1000 ng/mL and an </w:t>
      </w:r>
      <w:r w:rsidR="000A576E">
        <w:fldChar w:fldCharType="begin"/>
      </w:r>
      <w:r w:rsidR="000A576E">
        <w:instrText xml:space="preserve"> HYPERLINK "https://www.mdcalc.com/age-adjusted-d-dimer-venou</w:instrText>
      </w:r>
      <w:r w:rsidR="000A576E">
        <w:instrText xml:space="preserve">s-thromboembolism-vte" \t "_blank" \o "https://www.mdcalc.com/age-adjusted-d-dimer-venous-thromboembolism-vte" </w:instrText>
      </w:r>
      <w:r w:rsidR="000A576E">
        <w:fldChar w:fldCharType="separate"/>
      </w:r>
      <w:r w:rsidRPr="00A43C83">
        <w:rPr>
          <w:b/>
          <w:color w:val="0000FF"/>
          <w:sz w:val="28"/>
          <w:szCs w:val="28"/>
          <w:u w:val="single"/>
        </w:rPr>
        <w:t>age-adjusted D-dimer</w:t>
      </w:r>
      <w:r w:rsidR="000A576E">
        <w:rPr>
          <w:b/>
          <w:color w:val="0000FF"/>
          <w:sz w:val="28"/>
          <w:szCs w:val="28"/>
          <w:u w:val="single"/>
        </w:rPr>
        <w:fldChar w:fldCharType="end"/>
      </w:r>
      <w:r w:rsidRPr="00A43C83">
        <w:rPr>
          <w:b/>
          <w:color w:val="000000"/>
          <w:sz w:val="28"/>
          <w:szCs w:val="28"/>
        </w:rPr>
        <w:t xml:space="preserve"> to rule out PE. For patients with one or more YEARS criteria, the authors evaluated the diagnostic accuracy and potential impact of a D-dimer &lt; 500 </w:t>
      </w:r>
      <w:proofErr w:type="spellStart"/>
      <w:r w:rsidRPr="00A43C83">
        <w:rPr>
          <w:b/>
          <w:color w:val="000000"/>
          <w:sz w:val="28"/>
          <w:szCs w:val="28"/>
        </w:rPr>
        <w:t>ng</w:t>
      </w:r>
      <w:proofErr w:type="spellEnd"/>
      <w:r w:rsidRPr="00A43C83">
        <w:rPr>
          <w:b/>
          <w:color w:val="000000"/>
          <w:sz w:val="28"/>
          <w:szCs w:val="28"/>
        </w:rPr>
        <w:t>/</w:t>
      </w:r>
      <w:proofErr w:type="spellStart"/>
      <w:r w:rsidRPr="00A43C83">
        <w:rPr>
          <w:b/>
          <w:color w:val="000000"/>
          <w:sz w:val="28"/>
          <w:szCs w:val="28"/>
        </w:rPr>
        <w:t>mL.</w:t>
      </w:r>
      <w:proofErr w:type="spellEnd"/>
      <w:r w:rsidRPr="00A43C83">
        <w:rPr>
          <w:b/>
          <w:color w:val="000000"/>
          <w:sz w:val="28"/>
          <w:szCs w:val="28"/>
        </w:rPr>
        <w:t xml:space="preserve"> For patients in whom PE would have been ruled out by the YEARS algorithm, the proportion of patients who were diagnosed with a PE at initial testing or within 3 months constituted the overall failure rate.</w:t>
      </w:r>
    </w:p>
    <w:p w14:paraId="38D96BDA" w14:textId="77777777" w:rsidR="00A43C83" w:rsidRPr="00A43C83" w:rsidRDefault="00A43C83" w:rsidP="00A43C83">
      <w:pPr>
        <w:jc w:val="both"/>
        <w:rPr>
          <w:b/>
          <w:color w:val="000000"/>
          <w:sz w:val="28"/>
          <w:szCs w:val="28"/>
        </w:rPr>
      </w:pPr>
    </w:p>
    <w:p w14:paraId="60FC62AD" w14:textId="0388D089" w:rsidR="00E6037B" w:rsidRPr="001B1594" w:rsidRDefault="00A43C83" w:rsidP="001B1594">
      <w:pPr>
        <w:jc w:val="both"/>
        <w:rPr>
          <w:b/>
          <w:color w:val="000000"/>
          <w:sz w:val="28"/>
          <w:szCs w:val="28"/>
        </w:rPr>
      </w:pPr>
      <w:r w:rsidRPr="00A43C83">
        <w:rPr>
          <w:b/>
          <w:color w:val="000000"/>
          <w:sz w:val="28"/>
          <w:szCs w:val="28"/>
        </w:rPr>
        <w:t>Out of 3414 patients enrolled in the three studies, 100 (2.9%) were excluded for missing data, leaving 3314 patients in the final analysis. Of these, 1783 (53.8%) had no YEARS criteria and 1531 (46.2%) were positive for one or more criteria. PE was diagnosed in 731 (22.1%) of the cohort.</w:t>
      </w:r>
      <w:r w:rsidR="00E6037B">
        <w:rPr>
          <w:b/>
          <w:sz w:val="28"/>
          <w:szCs w:val="28"/>
        </w:rPr>
        <w:br w:type="page"/>
      </w:r>
    </w:p>
    <w:tbl>
      <w:tblPr>
        <w:tblStyle w:val="TableGrid"/>
        <w:tblW w:w="0" w:type="auto"/>
        <w:jc w:val="center"/>
        <w:tblLook w:val="01E0" w:firstRow="1" w:lastRow="1" w:firstColumn="1" w:lastColumn="1" w:noHBand="0" w:noVBand="0"/>
      </w:tblPr>
      <w:tblGrid>
        <w:gridCol w:w="1008"/>
        <w:gridCol w:w="3654"/>
        <w:gridCol w:w="5166"/>
      </w:tblGrid>
      <w:tr w:rsidR="00E6037B" w14:paraId="276A56C8" w14:textId="77777777" w:rsidTr="00B67DD9">
        <w:trPr>
          <w:jc w:val="center"/>
        </w:trPr>
        <w:tc>
          <w:tcPr>
            <w:tcW w:w="4662" w:type="dxa"/>
            <w:gridSpan w:val="2"/>
          </w:tcPr>
          <w:p w14:paraId="4D625E23" w14:textId="77777777" w:rsidR="00E6037B" w:rsidRPr="00E002FC" w:rsidRDefault="00E6037B" w:rsidP="002905BB">
            <w:pPr>
              <w:jc w:val="center"/>
              <w:rPr>
                <w:b/>
              </w:rPr>
            </w:pPr>
            <w:r w:rsidRPr="00E002FC">
              <w:rPr>
                <w:b/>
              </w:rPr>
              <w:lastRenderedPageBreak/>
              <w:t>Guide</w:t>
            </w:r>
          </w:p>
        </w:tc>
        <w:tc>
          <w:tcPr>
            <w:tcW w:w="5166" w:type="dxa"/>
          </w:tcPr>
          <w:p w14:paraId="51C25601" w14:textId="77777777" w:rsidR="00E6037B" w:rsidRPr="00E002FC" w:rsidRDefault="00E6037B" w:rsidP="002905BB">
            <w:pPr>
              <w:jc w:val="center"/>
              <w:rPr>
                <w:b/>
              </w:rPr>
            </w:pPr>
            <w:r w:rsidRPr="00E002FC">
              <w:rPr>
                <w:b/>
              </w:rPr>
              <w:t>Comments</w:t>
            </w:r>
          </w:p>
        </w:tc>
      </w:tr>
      <w:tr w:rsidR="00E6037B" w14:paraId="4BABF42E" w14:textId="77777777" w:rsidTr="00B67DD9">
        <w:trPr>
          <w:jc w:val="center"/>
        </w:trPr>
        <w:tc>
          <w:tcPr>
            <w:tcW w:w="1008" w:type="dxa"/>
          </w:tcPr>
          <w:p w14:paraId="358FF825" w14:textId="77777777" w:rsidR="00E6037B" w:rsidRPr="00FC473C" w:rsidRDefault="00E6037B" w:rsidP="002905BB">
            <w:pPr>
              <w:rPr>
                <w:b/>
              </w:rPr>
            </w:pPr>
            <w:r w:rsidRPr="00FC473C">
              <w:rPr>
                <w:b/>
              </w:rPr>
              <w:t>I.</w:t>
            </w:r>
          </w:p>
        </w:tc>
        <w:tc>
          <w:tcPr>
            <w:tcW w:w="3654" w:type="dxa"/>
          </w:tcPr>
          <w:p w14:paraId="6F2F73D6" w14:textId="77777777" w:rsidR="00E6037B" w:rsidRPr="00FC473C" w:rsidRDefault="00E6037B" w:rsidP="002905BB">
            <w:pPr>
              <w:rPr>
                <w:b/>
              </w:rPr>
            </w:pPr>
            <w:r w:rsidRPr="00FC473C">
              <w:rPr>
                <w:b/>
                <w:i/>
              </w:rPr>
              <w:t>Is this a newly derived instrument</w:t>
            </w:r>
            <w:r w:rsidRPr="00FC473C">
              <w:rPr>
                <w:b/>
              </w:rPr>
              <w:t xml:space="preserve"> (Level IV)?</w:t>
            </w:r>
          </w:p>
        </w:tc>
        <w:tc>
          <w:tcPr>
            <w:tcW w:w="5166" w:type="dxa"/>
          </w:tcPr>
          <w:p w14:paraId="0A7BD520" w14:textId="77777777" w:rsidR="00E6037B" w:rsidRDefault="00E6037B" w:rsidP="002905BB"/>
        </w:tc>
      </w:tr>
      <w:tr w:rsidR="00E6037B" w14:paraId="7F7230D0" w14:textId="77777777" w:rsidTr="00B67DD9">
        <w:trPr>
          <w:jc w:val="center"/>
        </w:trPr>
        <w:tc>
          <w:tcPr>
            <w:tcW w:w="1008" w:type="dxa"/>
          </w:tcPr>
          <w:p w14:paraId="1EC37476" w14:textId="77777777" w:rsidR="00E6037B" w:rsidRDefault="00E6037B" w:rsidP="002905BB">
            <w:r>
              <w:t>A.</w:t>
            </w:r>
          </w:p>
        </w:tc>
        <w:tc>
          <w:tcPr>
            <w:tcW w:w="3654" w:type="dxa"/>
          </w:tcPr>
          <w:p w14:paraId="4B578DFC" w14:textId="77777777" w:rsidR="00E6037B" w:rsidRDefault="00E6037B" w:rsidP="002905BB">
            <w:r>
              <w:t>Was validation restricted to the retrospective use of statistical techniques on the original database?  (If so, this is a Level IV rule &amp; is not ready for clinical application).</w:t>
            </w:r>
          </w:p>
        </w:tc>
        <w:tc>
          <w:tcPr>
            <w:tcW w:w="5166" w:type="dxa"/>
          </w:tcPr>
          <w:p w14:paraId="78EEE272" w14:textId="4C0A8C16" w:rsidR="00E6037B" w:rsidRDefault="008D55C6" w:rsidP="002905BB">
            <w:r>
              <w:t>No. Validation was performed retrospectively using data from 3 prospectively collected datasets separate from the original YEARS study.</w:t>
            </w:r>
          </w:p>
        </w:tc>
      </w:tr>
      <w:tr w:rsidR="00E6037B" w14:paraId="0C15F0B1" w14:textId="77777777" w:rsidTr="00B67DD9">
        <w:trPr>
          <w:jc w:val="center"/>
        </w:trPr>
        <w:tc>
          <w:tcPr>
            <w:tcW w:w="1008" w:type="dxa"/>
          </w:tcPr>
          <w:p w14:paraId="5AC79013" w14:textId="77777777" w:rsidR="00E6037B" w:rsidRPr="00FC473C" w:rsidRDefault="00E6037B" w:rsidP="002905BB">
            <w:pPr>
              <w:rPr>
                <w:b/>
              </w:rPr>
            </w:pPr>
            <w:r w:rsidRPr="00FC473C">
              <w:rPr>
                <w:b/>
              </w:rPr>
              <w:t>II</w:t>
            </w:r>
            <w:r>
              <w:rPr>
                <w:b/>
              </w:rPr>
              <w:t>.</w:t>
            </w:r>
          </w:p>
        </w:tc>
        <w:tc>
          <w:tcPr>
            <w:tcW w:w="3654" w:type="dxa"/>
          </w:tcPr>
          <w:p w14:paraId="34EF1420" w14:textId="77777777" w:rsidR="00E6037B" w:rsidRPr="00FC473C" w:rsidRDefault="00E6037B" w:rsidP="002905BB">
            <w:pPr>
              <w:rPr>
                <w:b/>
              </w:rPr>
            </w:pPr>
            <w:r w:rsidRPr="00FC473C">
              <w:rPr>
                <w:b/>
              </w:rPr>
              <w:t>Has the instrument been validated? (Level II or III).  If so, consider the following:</w:t>
            </w:r>
          </w:p>
        </w:tc>
        <w:tc>
          <w:tcPr>
            <w:tcW w:w="5166" w:type="dxa"/>
          </w:tcPr>
          <w:p w14:paraId="52E3E6B1" w14:textId="77777777" w:rsidR="00E6037B" w:rsidRDefault="00E6037B" w:rsidP="002905BB"/>
        </w:tc>
      </w:tr>
      <w:tr w:rsidR="00E6037B" w14:paraId="68E8D0A2" w14:textId="77777777" w:rsidTr="00B67DD9">
        <w:trPr>
          <w:jc w:val="center"/>
        </w:trPr>
        <w:tc>
          <w:tcPr>
            <w:tcW w:w="1008" w:type="dxa"/>
          </w:tcPr>
          <w:p w14:paraId="40BF685A" w14:textId="77777777" w:rsidR="00E6037B" w:rsidRDefault="00E6037B" w:rsidP="002905BB">
            <w:r>
              <w:t>1a</w:t>
            </w:r>
          </w:p>
        </w:tc>
        <w:tc>
          <w:tcPr>
            <w:tcW w:w="3654" w:type="dxa"/>
          </w:tcPr>
          <w:p w14:paraId="0A132B6D" w14:textId="77777777" w:rsidR="00E6037B" w:rsidRDefault="00E6037B" w:rsidP="002905BB">
            <w:r>
              <w:t>Were all important predictors included in the derivation process?</w:t>
            </w:r>
          </w:p>
        </w:tc>
        <w:tc>
          <w:tcPr>
            <w:tcW w:w="5166" w:type="dxa"/>
          </w:tcPr>
          <w:p w14:paraId="1C75A933" w14:textId="022E0D64" w:rsidR="00E6037B" w:rsidRDefault="008D55C6" w:rsidP="002905BB">
            <w:r>
              <w:t>N/A</w:t>
            </w:r>
          </w:p>
        </w:tc>
      </w:tr>
      <w:tr w:rsidR="00E6037B" w14:paraId="6B9E6E57" w14:textId="77777777" w:rsidTr="00B67DD9">
        <w:trPr>
          <w:jc w:val="center"/>
        </w:trPr>
        <w:tc>
          <w:tcPr>
            <w:tcW w:w="1008" w:type="dxa"/>
          </w:tcPr>
          <w:p w14:paraId="4698BF27" w14:textId="77777777" w:rsidR="00E6037B" w:rsidRDefault="00E6037B" w:rsidP="002905BB">
            <w:r>
              <w:t>1b</w:t>
            </w:r>
          </w:p>
        </w:tc>
        <w:tc>
          <w:tcPr>
            <w:tcW w:w="3654" w:type="dxa"/>
          </w:tcPr>
          <w:p w14:paraId="6CEA0F03" w14:textId="77777777" w:rsidR="00E6037B" w:rsidRDefault="00E6037B" w:rsidP="002905BB">
            <w:r>
              <w:t>Were all important predictors present in significant proportion of the study population?</w:t>
            </w:r>
          </w:p>
        </w:tc>
        <w:tc>
          <w:tcPr>
            <w:tcW w:w="5166" w:type="dxa"/>
          </w:tcPr>
          <w:p w14:paraId="6A4EC9BE" w14:textId="3BC4795D" w:rsidR="00E6037B" w:rsidRDefault="008D55C6" w:rsidP="002905BB">
            <w:r>
              <w:t>N/A</w:t>
            </w:r>
          </w:p>
        </w:tc>
      </w:tr>
      <w:tr w:rsidR="00E6037B" w14:paraId="751D2B9A" w14:textId="77777777" w:rsidTr="00B67DD9">
        <w:trPr>
          <w:jc w:val="center"/>
        </w:trPr>
        <w:tc>
          <w:tcPr>
            <w:tcW w:w="1008" w:type="dxa"/>
          </w:tcPr>
          <w:p w14:paraId="37FBE429" w14:textId="77777777" w:rsidR="00E6037B" w:rsidRDefault="00E6037B" w:rsidP="002905BB">
            <w:r>
              <w:t>1c</w:t>
            </w:r>
          </w:p>
        </w:tc>
        <w:tc>
          <w:tcPr>
            <w:tcW w:w="3654" w:type="dxa"/>
          </w:tcPr>
          <w:p w14:paraId="556CC9BE" w14:textId="77777777" w:rsidR="00E6037B" w:rsidRDefault="00E6037B" w:rsidP="002905BB">
            <w:r>
              <w:t>Does the rule make clinical sense?</w:t>
            </w:r>
          </w:p>
        </w:tc>
        <w:tc>
          <w:tcPr>
            <w:tcW w:w="5166" w:type="dxa"/>
          </w:tcPr>
          <w:p w14:paraId="4984577D" w14:textId="2EE66D75" w:rsidR="00E6037B" w:rsidRDefault="008D55C6" w:rsidP="002905BB">
            <w:r>
              <w:t xml:space="preserve">Yes. The YEARS algorithm is a simplified clinical decision tool that uses 3 of the questions from the Wells' PE criteria. Using a </w:t>
            </w:r>
            <w:hyperlink r:id="rId8" w:history="1">
              <w:r w:rsidRPr="0041380B">
                <w:rPr>
                  <w:rStyle w:val="Hyperlink"/>
                </w:rPr>
                <w:t>Bayesian statistical</w:t>
              </w:r>
            </w:hyperlink>
            <w:r>
              <w:t xml:space="preserve"> approach, patients with no YEARS criteria present who hence have a low pre-test probability for PE were considered ruled out with a higher D-dimer threshold (1000 mg/dL), while patients with ay YEARS criteria were felt to be higher risk and hence were ruled out with a lower D-dimer threshold (500 mg/dL).</w:t>
            </w:r>
          </w:p>
        </w:tc>
      </w:tr>
      <w:tr w:rsidR="00E6037B" w14:paraId="08A129F2" w14:textId="77777777" w:rsidTr="00B67DD9">
        <w:trPr>
          <w:jc w:val="center"/>
        </w:trPr>
        <w:tc>
          <w:tcPr>
            <w:tcW w:w="1008" w:type="dxa"/>
          </w:tcPr>
          <w:p w14:paraId="7B1EA0F0" w14:textId="77777777" w:rsidR="00E6037B" w:rsidRDefault="00E6037B" w:rsidP="002905BB">
            <w:r>
              <w:t>2</w:t>
            </w:r>
          </w:p>
        </w:tc>
        <w:tc>
          <w:tcPr>
            <w:tcW w:w="3654" w:type="dxa"/>
          </w:tcPr>
          <w:p w14:paraId="611109E7" w14:textId="77777777" w:rsidR="00E6037B" w:rsidRDefault="00E6037B" w:rsidP="002905BB">
            <w:r>
              <w:t>Did validation include prospective studies on several different populations from that used to derive it (II) or was it restricted to a single population (III)?</w:t>
            </w:r>
          </w:p>
        </w:tc>
        <w:tc>
          <w:tcPr>
            <w:tcW w:w="5166" w:type="dxa"/>
          </w:tcPr>
          <w:p w14:paraId="65B5C05A" w14:textId="278DF1FE" w:rsidR="00E6037B" w:rsidRDefault="008D55C6" w:rsidP="002905BB">
            <w:r>
              <w:t>Somewhat. While this was a retrospective analysis, it utilized data that were collected prospectively. These data were obtained from multiple centers in Belgium, France, and Switzerland and included all aspects of the YEARS criteria and a D-dimer value, allowing proper evaluation of this algorithm.</w:t>
            </w:r>
          </w:p>
        </w:tc>
      </w:tr>
      <w:tr w:rsidR="00E6037B" w14:paraId="1E42B81E" w14:textId="77777777" w:rsidTr="00B67DD9">
        <w:trPr>
          <w:jc w:val="center"/>
        </w:trPr>
        <w:tc>
          <w:tcPr>
            <w:tcW w:w="1008" w:type="dxa"/>
          </w:tcPr>
          <w:p w14:paraId="29D2D5F3" w14:textId="77777777" w:rsidR="00E6037B" w:rsidRDefault="00E6037B" w:rsidP="002905BB">
            <w:r>
              <w:t>3</w:t>
            </w:r>
          </w:p>
        </w:tc>
        <w:tc>
          <w:tcPr>
            <w:tcW w:w="3654" w:type="dxa"/>
          </w:tcPr>
          <w:p w14:paraId="18668520" w14:textId="77777777" w:rsidR="00E6037B" w:rsidRPr="000E6115" w:rsidRDefault="00E6037B" w:rsidP="002905BB">
            <w:pPr>
              <w:jc w:val="center"/>
              <w:rPr>
                <w:i/>
              </w:rPr>
            </w:pPr>
            <w:r w:rsidRPr="000E6115">
              <w:rPr>
                <w:i/>
              </w:rPr>
              <w:t>How well did the validation study meet the following criteria?</w:t>
            </w:r>
          </w:p>
        </w:tc>
        <w:tc>
          <w:tcPr>
            <w:tcW w:w="5166" w:type="dxa"/>
          </w:tcPr>
          <w:p w14:paraId="300DD8CB" w14:textId="77777777" w:rsidR="00E6037B" w:rsidRDefault="00E6037B" w:rsidP="002905BB"/>
        </w:tc>
      </w:tr>
      <w:tr w:rsidR="00E6037B" w14:paraId="58FB11AF" w14:textId="77777777" w:rsidTr="00B67DD9">
        <w:trPr>
          <w:jc w:val="center"/>
        </w:trPr>
        <w:tc>
          <w:tcPr>
            <w:tcW w:w="1008" w:type="dxa"/>
          </w:tcPr>
          <w:p w14:paraId="009E1E9C" w14:textId="77777777" w:rsidR="00E6037B" w:rsidRDefault="00E6037B" w:rsidP="002905BB">
            <w:r>
              <w:t>3a</w:t>
            </w:r>
          </w:p>
        </w:tc>
        <w:tc>
          <w:tcPr>
            <w:tcW w:w="3654" w:type="dxa"/>
          </w:tcPr>
          <w:p w14:paraId="4D08F3A1" w14:textId="77777777" w:rsidR="00E6037B" w:rsidRDefault="00E6037B" w:rsidP="002905BB">
            <w:r>
              <w:t>Did the patients represent a wide spectrum of severity of disease?</w:t>
            </w:r>
          </w:p>
        </w:tc>
        <w:tc>
          <w:tcPr>
            <w:tcW w:w="5166" w:type="dxa"/>
          </w:tcPr>
          <w:p w14:paraId="6B7740BA" w14:textId="15F3CB2E" w:rsidR="00E6037B" w:rsidRDefault="00C22498" w:rsidP="002905BB">
            <w:r>
              <w:t>Y</w:t>
            </w:r>
            <w:r w:rsidR="001833D6">
              <w:t xml:space="preserve">es. The authors make no specific mention of excluding patients felt to be at high-risk for PE (based on clinical gestalt or Geneva risk scores). As a result, this study appears to include a wide spectrum of potential disease severity and should be at low risk of </w:t>
            </w:r>
            <w:hyperlink r:id="rId9" w:history="1">
              <w:r w:rsidR="001833D6" w:rsidRPr="001833D6">
                <w:rPr>
                  <w:rStyle w:val="Hyperlink"/>
                </w:rPr>
                <w:t>spectrum bias</w:t>
              </w:r>
            </w:hyperlink>
            <w:r w:rsidR="001833D6">
              <w:t>.</w:t>
            </w:r>
            <w:r w:rsidR="00706DEA">
              <w:t xml:space="preserve"> There were 1783 patients (53.8%) with 0 YEARS criteria, 1235 (37.3%) with 1 YEARS criteria, 288 (8.7%) with 2 YEARS criteria, and 8 (0.2%) with 3 YEARS criteria.</w:t>
            </w:r>
          </w:p>
        </w:tc>
      </w:tr>
      <w:tr w:rsidR="00E6037B" w14:paraId="6010102D" w14:textId="77777777" w:rsidTr="00B67DD9">
        <w:trPr>
          <w:jc w:val="center"/>
        </w:trPr>
        <w:tc>
          <w:tcPr>
            <w:tcW w:w="1008" w:type="dxa"/>
          </w:tcPr>
          <w:p w14:paraId="32E258FE" w14:textId="77777777" w:rsidR="00E6037B" w:rsidRDefault="00E6037B" w:rsidP="002905BB">
            <w:r>
              <w:t xml:space="preserve">3b </w:t>
            </w:r>
          </w:p>
        </w:tc>
        <w:tc>
          <w:tcPr>
            <w:tcW w:w="3654" w:type="dxa"/>
          </w:tcPr>
          <w:p w14:paraId="307CC9C3" w14:textId="77777777" w:rsidR="00E6037B" w:rsidRDefault="00E6037B" w:rsidP="002905BB">
            <w:r>
              <w:t>Was there a blinded assessment of the gold standard?</w:t>
            </w:r>
          </w:p>
        </w:tc>
        <w:tc>
          <w:tcPr>
            <w:tcW w:w="5166" w:type="dxa"/>
          </w:tcPr>
          <w:p w14:paraId="3E550E3D" w14:textId="45A4DC3E" w:rsidR="00E6037B" w:rsidRDefault="00093D41" w:rsidP="002905BB">
            <w:r>
              <w:t>Uncertain. The authors do not mention whether radiologists</w:t>
            </w:r>
            <w:r w:rsidR="006B3C30">
              <w:t xml:space="preserve"> or follow-up outcome assessors</w:t>
            </w:r>
            <w:r>
              <w:t xml:space="preserve"> reading CTPAs or venous compression ultrasonography were blinded to risk stratification </w:t>
            </w:r>
            <w:r>
              <w:lastRenderedPageBreak/>
              <w:t>scores (included components of the YEARS score), D-dimer results, or level of clinician suspicion for PE.</w:t>
            </w:r>
          </w:p>
        </w:tc>
      </w:tr>
      <w:tr w:rsidR="00E6037B" w14:paraId="3375BAE1" w14:textId="77777777" w:rsidTr="00B67DD9">
        <w:trPr>
          <w:jc w:val="center"/>
        </w:trPr>
        <w:tc>
          <w:tcPr>
            <w:tcW w:w="1008" w:type="dxa"/>
          </w:tcPr>
          <w:p w14:paraId="63497C44" w14:textId="77777777" w:rsidR="00E6037B" w:rsidRDefault="00E6037B" w:rsidP="002905BB">
            <w:r>
              <w:lastRenderedPageBreak/>
              <w:t>3c</w:t>
            </w:r>
          </w:p>
        </w:tc>
        <w:tc>
          <w:tcPr>
            <w:tcW w:w="3654" w:type="dxa"/>
          </w:tcPr>
          <w:p w14:paraId="15312874" w14:textId="77777777" w:rsidR="00E6037B" w:rsidRDefault="00E6037B" w:rsidP="002905BB">
            <w:r>
              <w:t>Was there an explicit and accurate interpretation of the predictor variables &amp; the actual rule without knowledge of the outcome?</w:t>
            </w:r>
          </w:p>
        </w:tc>
        <w:tc>
          <w:tcPr>
            <w:tcW w:w="5166" w:type="dxa"/>
          </w:tcPr>
          <w:p w14:paraId="19E9A543" w14:textId="1258F4E8" w:rsidR="00E6037B" w:rsidRPr="00AC51BE" w:rsidRDefault="00093D41" w:rsidP="00AC51BE">
            <w:pPr>
              <w:widowControl w:val="0"/>
              <w:autoSpaceDE w:val="0"/>
              <w:autoSpaceDN w:val="0"/>
              <w:adjustRightInd w:val="0"/>
              <w:spacing w:after="240" w:line="260" w:lineRule="atLeast"/>
              <w:rPr>
                <w:color w:val="000000"/>
              </w:rPr>
            </w:pPr>
            <w:r w:rsidRPr="00093D41">
              <w:t>Likely yes. The authors mention that, "</w:t>
            </w:r>
            <w:r w:rsidRPr="00093D41">
              <w:rPr>
                <w:color w:val="000000"/>
              </w:rPr>
              <w:t>a sequential assessment of clinical probability, plasma D-dimer measurement, lower limb venous compression ultrasonography (CUS), and CTPA with some variations" was utilized in the evaluation for PE.</w:t>
            </w:r>
            <w:r w:rsidR="00AC51BE">
              <w:rPr>
                <w:color w:val="000000"/>
              </w:rPr>
              <w:t xml:space="preserve"> This suggests that clinical probability assessments (including YEARS criteria) were made prior to D-dimer results</w:t>
            </w:r>
            <w:r w:rsidR="003E5F08">
              <w:rPr>
                <w:color w:val="000000"/>
              </w:rPr>
              <w:t>, which were obtained prior to imaging.</w:t>
            </w:r>
          </w:p>
        </w:tc>
      </w:tr>
      <w:tr w:rsidR="00E6037B" w14:paraId="028590D0" w14:textId="77777777" w:rsidTr="00B67DD9">
        <w:trPr>
          <w:jc w:val="center"/>
        </w:trPr>
        <w:tc>
          <w:tcPr>
            <w:tcW w:w="1008" w:type="dxa"/>
          </w:tcPr>
          <w:p w14:paraId="468F24C7" w14:textId="77777777" w:rsidR="00E6037B" w:rsidRDefault="00E6037B" w:rsidP="002905BB">
            <w:r>
              <w:t>3d</w:t>
            </w:r>
          </w:p>
        </w:tc>
        <w:tc>
          <w:tcPr>
            <w:tcW w:w="3654" w:type="dxa"/>
          </w:tcPr>
          <w:p w14:paraId="7C82B45D" w14:textId="77777777" w:rsidR="00E6037B" w:rsidRDefault="00E6037B" w:rsidP="002905BB">
            <w:r>
              <w:t>Did the results of the assessment of the variables or of the rule influence the decision to perform the gold standard?</w:t>
            </w:r>
          </w:p>
        </w:tc>
        <w:tc>
          <w:tcPr>
            <w:tcW w:w="5166" w:type="dxa"/>
          </w:tcPr>
          <w:p w14:paraId="3D4E5E54" w14:textId="4B19E704" w:rsidR="00E6037B" w:rsidRDefault="003E5F08" w:rsidP="002905BB">
            <w:r>
              <w:t>Yes. CTPA was performed in 1891 patients, representing 57% of the overall cohort. The remaining patients were followed up at 3 months, though details of the follow-up process in each of the studies were not provided (</w:t>
            </w:r>
            <w:hyperlink r:id="rId10" w:history="1">
              <w:r w:rsidRPr="003E5F08">
                <w:rPr>
                  <w:rStyle w:val="Hyperlink"/>
                </w:rPr>
                <w:t>partial verification bias</w:t>
              </w:r>
            </w:hyperlink>
            <w:r>
              <w:t>).</w:t>
            </w:r>
          </w:p>
        </w:tc>
      </w:tr>
      <w:tr w:rsidR="00E6037B" w14:paraId="08B6E2FC" w14:textId="77777777" w:rsidTr="00B67DD9">
        <w:trPr>
          <w:jc w:val="center"/>
        </w:trPr>
        <w:tc>
          <w:tcPr>
            <w:tcW w:w="1008" w:type="dxa"/>
          </w:tcPr>
          <w:p w14:paraId="59113C4D" w14:textId="77777777" w:rsidR="00E6037B" w:rsidRDefault="00E6037B" w:rsidP="002905BB">
            <w:r>
              <w:t>4</w:t>
            </w:r>
          </w:p>
        </w:tc>
        <w:tc>
          <w:tcPr>
            <w:tcW w:w="3654" w:type="dxa"/>
          </w:tcPr>
          <w:p w14:paraId="05432D6C" w14:textId="77777777" w:rsidR="00E6037B" w:rsidRDefault="00E6037B" w:rsidP="002905BB">
            <w:r>
              <w:t>How powerful is the rule (in terms of sensitivity &amp; specificity; likelihood ratios; proportions with alternative outcomes; or relative risks or absolute outcome rates)?</w:t>
            </w:r>
          </w:p>
        </w:tc>
        <w:tc>
          <w:tcPr>
            <w:tcW w:w="5166" w:type="dxa"/>
          </w:tcPr>
          <w:p w14:paraId="2DDED037" w14:textId="447C4F16" w:rsidR="00FF7B1C" w:rsidRDefault="00B67DD9" w:rsidP="00FF7B1C">
            <w:pPr>
              <w:pStyle w:val="ListParagraph"/>
              <w:numPr>
                <w:ilvl w:val="0"/>
                <w:numId w:val="1"/>
              </w:numPr>
            </w:pPr>
            <w:r>
              <w:t>Based on the YEARS algorithm, 1423 (42.9%) patients would have had PE excluded without CTPA. Of these, 17 were diagnosed with PE at initial testing</w:t>
            </w:r>
            <w:r w:rsidR="00FF7B1C">
              <w:t xml:space="preserve">, for a </w:t>
            </w:r>
            <w:r w:rsidR="00FF7B1C" w:rsidRPr="00FF7B1C">
              <w:rPr>
                <w:color w:val="FF0000"/>
              </w:rPr>
              <w:t>failure rate of 1.2%</w:t>
            </w:r>
            <w:r w:rsidRPr="00FF7B1C">
              <w:rPr>
                <w:color w:val="FF0000"/>
              </w:rPr>
              <w:t xml:space="preserve"> </w:t>
            </w:r>
            <w:r w:rsidR="00FF7B1C" w:rsidRPr="00FF7B1C">
              <w:rPr>
                <w:color w:val="FF0000"/>
              </w:rPr>
              <w:t>(</w:t>
            </w:r>
            <w:r w:rsidRPr="00FF7B1C">
              <w:rPr>
                <w:color w:val="FF0000"/>
              </w:rPr>
              <w:t>95% CI 0.8-1.9)</w:t>
            </w:r>
            <w:r>
              <w:t>.</w:t>
            </w:r>
            <w:r w:rsidR="00FF7B1C">
              <w:t xml:space="preserve"> No additional PEs were diagnosed at follow-up.</w:t>
            </w:r>
          </w:p>
          <w:p w14:paraId="4515D62A" w14:textId="77777777" w:rsidR="00FF7B1C" w:rsidRDefault="00DF131C" w:rsidP="00DF131C">
            <w:pPr>
              <w:pStyle w:val="ListParagraph"/>
              <w:numPr>
                <w:ilvl w:val="1"/>
                <w:numId w:val="1"/>
              </w:numPr>
            </w:pPr>
            <w:r>
              <w:t xml:space="preserve">All 17 missed cases had 0 YEARS criteria and a D-dimer &lt; 1000 </w:t>
            </w:r>
            <w:proofErr w:type="spellStart"/>
            <w:r>
              <w:t>ng</w:t>
            </w:r>
            <w:proofErr w:type="spellEnd"/>
            <w:r>
              <w:t>/</w:t>
            </w:r>
            <w:proofErr w:type="spellStart"/>
            <w:r>
              <w:t>mL.</w:t>
            </w:r>
            <w:proofErr w:type="spellEnd"/>
          </w:p>
          <w:p w14:paraId="7D322B5F" w14:textId="0ABBD661" w:rsidR="00271AA4" w:rsidRDefault="003F1106" w:rsidP="003F1106">
            <w:pPr>
              <w:pStyle w:val="ListParagraph"/>
              <w:numPr>
                <w:ilvl w:val="0"/>
                <w:numId w:val="1"/>
              </w:numPr>
            </w:pPr>
            <w:r>
              <w:t xml:space="preserve">Among 870 patients with no YEARS criteria and a negative age-adjusted D-dimer, there were no </w:t>
            </w:r>
            <w:r w:rsidR="00E82D17">
              <w:t>PEs diagnosed: 0.0%, 95% CI 0.0-0.4%.</w:t>
            </w:r>
          </w:p>
        </w:tc>
      </w:tr>
      <w:tr w:rsidR="00E6037B" w14:paraId="4D5BAAB5" w14:textId="77777777" w:rsidTr="00B67DD9">
        <w:trPr>
          <w:jc w:val="center"/>
        </w:trPr>
        <w:tc>
          <w:tcPr>
            <w:tcW w:w="1008" w:type="dxa"/>
          </w:tcPr>
          <w:p w14:paraId="6B2EA09B" w14:textId="402B3DC0" w:rsidR="00E6037B" w:rsidRPr="00FC473C" w:rsidRDefault="00E6037B" w:rsidP="002905BB">
            <w:pPr>
              <w:rPr>
                <w:b/>
              </w:rPr>
            </w:pPr>
            <w:r w:rsidRPr="00FC473C">
              <w:rPr>
                <w:b/>
              </w:rPr>
              <w:t>III.</w:t>
            </w:r>
          </w:p>
        </w:tc>
        <w:tc>
          <w:tcPr>
            <w:tcW w:w="3654" w:type="dxa"/>
          </w:tcPr>
          <w:p w14:paraId="76D449F3" w14:textId="77777777" w:rsidR="00E6037B" w:rsidRPr="00FC473C" w:rsidRDefault="00E6037B" w:rsidP="002905BB">
            <w:pPr>
              <w:rPr>
                <w:b/>
              </w:rPr>
            </w:pPr>
            <w:r w:rsidRPr="00FC473C">
              <w:rPr>
                <w:b/>
              </w:rPr>
              <w:t>Has an impact analysis demonstrated change in clinical behavior or patient outcomes as a result of using the instrument?  (Level I).  If so, consider the following:</w:t>
            </w:r>
          </w:p>
        </w:tc>
        <w:tc>
          <w:tcPr>
            <w:tcW w:w="5166" w:type="dxa"/>
          </w:tcPr>
          <w:p w14:paraId="4925E1FE" w14:textId="77777777" w:rsidR="00E6037B" w:rsidRDefault="00E6037B" w:rsidP="002905BB"/>
        </w:tc>
      </w:tr>
      <w:tr w:rsidR="00E6037B" w14:paraId="10ACCA17" w14:textId="77777777" w:rsidTr="00B67DD9">
        <w:trPr>
          <w:jc w:val="center"/>
        </w:trPr>
        <w:tc>
          <w:tcPr>
            <w:tcW w:w="1008" w:type="dxa"/>
          </w:tcPr>
          <w:p w14:paraId="50B0CF00" w14:textId="77777777" w:rsidR="00E6037B" w:rsidRDefault="00E6037B" w:rsidP="002905BB">
            <w:r>
              <w:t>1</w:t>
            </w:r>
          </w:p>
        </w:tc>
        <w:tc>
          <w:tcPr>
            <w:tcW w:w="3654" w:type="dxa"/>
          </w:tcPr>
          <w:p w14:paraId="2A020666" w14:textId="77777777" w:rsidR="00E6037B" w:rsidRDefault="00E6037B" w:rsidP="002905BB">
            <w:r>
              <w:t>How well did the study guard against bias in terms of differences at the start (concealed randomization, adjustment in analysis) or as the study proceeded (blinding, co-intervention, loss to follow-up)?</w:t>
            </w:r>
          </w:p>
        </w:tc>
        <w:tc>
          <w:tcPr>
            <w:tcW w:w="5166" w:type="dxa"/>
          </w:tcPr>
          <w:p w14:paraId="2ABC30E7" w14:textId="37B2403D" w:rsidR="00E6037B" w:rsidRDefault="001375FD" w:rsidP="001375FD">
            <w:r>
              <w:t>While this was a retrospective analysis, it utilized prospectively collected data. There is no mention of blinding of radiologists reading the images and just over half of patients underwent the gold standard test for PE. While there is no specific mention of blinding practitioners to downstream test results, the sequential performance of testing (risk stratification followed by D-dimer testing followed by CTPA) suggests they were not aware of downstream results.</w:t>
            </w:r>
          </w:p>
        </w:tc>
      </w:tr>
      <w:tr w:rsidR="00E6037B" w14:paraId="172F6BF6" w14:textId="77777777" w:rsidTr="00B67DD9">
        <w:trPr>
          <w:jc w:val="center"/>
        </w:trPr>
        <w:tc>
          <w:tcPr>
            <w:tcW w:w="1008" w:type="dxa"/>
          </w:tcPr>
          <w:p w14:paraId="4FD1825C" w14:textId="77777777" w:rsidR="00E6037B" w:rsidRDefault="00E6037B" w:rsidP="002905BB">
            <w:r>
              <w:t>2</w:t>
            </w:r>
          </w:p>
        </w:tc>
        <w:tc>
          <w:tcPr>
            <w:tcW w:w="3654" w:type="dxa"/>
          </w:tcPr>
          <w:p w14:paraId="3382F17E" w14:textId="77777777" w:rsidR="00E6037B" w:rsidRDefault="00E6037B" w:rsidP="002905BB">
            <w:r>
              <w:t xml:space="preserve">What was the impact on clinician behavior and patient-important </w:t>
            </w:r>
            <w:r>
              <w:lastRenderedPageBreak/>
              <w:t>outcomes?</w:t>
            </w:r>
          </w:p>
        </w:tc>
        <w:tc>
          <w:tcPr>
            <w:tcW w:w="5166" w:type="dxa"/>
          </w:tcPr>
          <w:p w14:paraId="41774218" w14:textId="45CAAAB1" w:rsidR="00E6037B" w:rsidRDefault="00DA54E6" w:rsidP="002905BB">
            <w:r>
              <w:lastRenderedPageBreak/>
              <w:t xml:space="preserve">N/A. The authors did not perform any analysis on whether use of the YEARS algorithm would </w:t>
            </w:r>
            <w:r>
              <w:lastRenderedPageBreak/>
              <w:t>impact CT scan ordering or outcomes.</w:t>
            </w:r>
          </w:p>
        </w:tc>
      </w:tr>
    </w:tbl>
    <w:p w14:paraId="75F59FF6" w14:textId="7D9668CC" w:rsidR="00264B04" w:rsidRDefault="00264B04" w:rsidP="00E002FC">
      <w:pPr>
        <w:jc w:val="center"/>
        <w:rPr>
          <w:b/>
          <w:sz w:val="28"/>
          <w:szCs w:val="28"/>
        </w:rPr>
      </w:pPr>
    </w:p>
    <w:p w14:paraId="0E3F5346" w14:textId="1DF8721C" w:rsidR="002905BB" w:rsidRPr="001D0AF6" w:rsidRDefault="002905BB" w:rsidP="001D0AF6">
      <w:pPr>
        <w:spacing w:before="240" w:after="240"/>
        <w:jc w:val="both"/>
        <w:rPr>
          <w:b/>
          <w:sz w:val="28"/>
          <w:szCs w:val="28"/>
          <w:u w:val="single"/>
        </w:rPr>
      </w:pPr>
      <w:r w:rsidRPr="001D0AF6">
        <w:rPr>
          <w:b/>
          <w:sz w:val="28"/>
          <w:szCs w:val="28"/>
          <w:u w:val="single"/>
        </w:rPr>
        <w:t>Limitations:</w:t>
      </w:r>
    </w:p>
    <w:p w14:paraId="15D07D24" w14:textId="49515EEA" w:rsidR="00093D41" w:rsidRPr="001D0AF6" w:rsidRDefault="001375FD" w:rsidP="001D0AF6">
      <w:pPr>
        <w:pStyle w:val="ListParagraph"/>
        <w:numPr>
          <w:ilvl w:val="0"/>
          <w:numId w:val="2"/>
        </w:numPr>
        <w:spacing w:before="240" w:after="240"/>
        <w:contextualSpacing w:val="0"/>
        <w:jc w:val="both"/>
        <w:rPr>
          <w:b/>
          <w:sz w:val="28"/>
          <w:szCs w:val="28"/>
        </w:rPr>
      </w:pPr>
      <w:r w:rsidRPr="001D0AF6">
        <w:rPr>
          <w:b/>
          <w:sz w:val="28"/>
          <w:szCs w:val="28"/>
        </w:rPr>
        <w:t>Performed early to mid-2000s with less advanced CT scanners. There is a risk of missing smaller segmental PEs.</w:t>
      </w:r>
    </w:p>
    <w:p w14:paraId="173174B5" w14:textId="2009D780" w:rsidR="001D0AF6" w:rsidRDefault="001D0AF6" w:rsidP="001D0AF6">
      <w:pPr>
        <w:pStyle w:val="ListParagraph"/>
        <w:numPr>
          <w:ilvl w:val="0"/>
          <w:numId w:val="2"/>
        </w:numPr>
        <w:spacing w:before="240" w:after="240"/>
        <w:contextualSpacing w:val="0"/>
        <w:jc w:val="both"/>
        <w:rPr>
          <w:b/>
          <w:sz w:val="28"/>
          <w:szCs w:val="28"/>
        </w:rPr>
      </w:pPr>
      <w:r w:rsidRPr="001D0AF6">
        <w:rPr>
          <w:b/>
          <w:sz w:val="28"/>
          <w:szCs w:val="28"/>
        </w:rPr>
        <w:t xml:space="preserve">The gold standard test (CTPA) was only </w:t>
      </w:r>
      <w:r w:rsidR="00843F5B">
        <w:rPr>
          <w:b/>
          <w:sz w:val="28"/>
          <w:szCs w:val="28"/>
        </w:rPr>
        <w:t xml:space="preserve">performed in 57% of the cohort </w:t>
      </w:r>
      <w:r w:rsidRPr="001D0AF6">
        <w:rPr>
          <w:b/>
          <w:sz w:val="28"/>
          <w:szCs w:val="28"/>
        </w:rPr>
        <w:t>(</w:t>
      </w:r>
      <w:hyperlink r:id="rId11" w:history="1">
        <w:r w:rsidRPr="001D0AF6">
          <w:rPr>
            <w:rStyle w:val="Hyperlink"/>
            <w:b/>
            <w:sz w:val="28"/>
            <w:szCs w:val="28"/>
          </w:rPr>
          <w:t>partial verification bias</w:t>
        </w:r>
      </w:hyperlink>
      <w:r w:rsidRPr="001D0AF6">
        <w:rPr>
          <w:b/>
          <w:sz w:val="28"/>
          <w:szCs w:val="28"/>
        </w:rPr>
        <w:t>).</w:t>
      </w:r>
    </w:p>
    <w:p w14:paraId="4445E263" w14:textId="5343CE76" w:rsidR="00843F5B" w:rsidRDefault="00843F5B" w:rsidP="001D0AF6">
      <w:pPr>
        <w:pStyle w:val="ListParagraph"/>
        <w:numPr>
          <w:ilvl w:val="0"/>
          <w:numId w:val="2"/>
        </w:numPr>
        <w:spacing w:before="240" w:after="240"/>
        <w:contextualSpacing w:val="0"/>
        <w:jc w:val="both"/>
        <w:rPr>
          <w:b/>
          <w:sz w:val="28"/>
          <w:szCs w:val="28"/>
        </w:rPr>
      </w:pPr>
      <w:r>
        <w:rPr>
          <w:b/>
          <w:sz w:val="28"/>
          <w:szCs w:val="28"/>
        </w:rPr>
        <w:t xml:space="preserve">There is no mention of blinding of radiologists to clinical criteria or D-dimer results, raising the possibility of </w:t>
      </w:r>
      <w:hyperlink r:id="rId12" w:history="1">
        <w:r w:rsidRPr="00843F5B">
          <w:rPr>
            <w:rStyle w:val="Hyperlink"/>
            <w:b/>
            <w:sz w:val="28"/>
            <w:szCs w:val="28"/>
          </w:rPr>
          <w:t>incorporation bias</w:t>
        </w:r>
      </w:hyperlink>
      <w:r>
        <w:rPr>
          <w:b/>
          <w:sz w:val="28"/>
          <w:szCs w:val="28"/>
        </w:rPr>
        <w:t>.</w:t>
      </w:r>
    </w:p>
    <w:p w14:paraId="55BB3B48" w14:textId="4E827560" w:rsidR="001D0AF6" w:rsidRPr="001D0AF6" w:rsidRDefault="00F0336C" w:rsidP="001D0AF6">
      <w:pPr>
        <w:pStyle w:val="ListParagraph"/>
        <w:numPr>
          <w:ilvl w:val="0"/>
          <w:numId w:val="2"/>
        </w:numPr>
        <w:spacing w:before="240" w:after="240"/>
        <w:contextualSpacing w:val="0"/>
        <w:jc w:val="both"/>
        <w:rPr>
          <w:b/>
          <w:sz w:val="28"/>
          <w:szCs w:val="28"/>
        </w:rPr>
      </w:pPr>
      <w:r>
        <w:rPr>
          <w:b/>
          <w:sz w:val="28"/>
          <w:szCs w:val="28"/>
        </w:rPr>
        <w:t>The authors mention that patients were followed-up at 3 months in the included studies, but do not describe how this follow-up was obtained. They also do not mention what percent of patients were lost to follow-up and these missing data were handled.</w:t>
      </w:r>
    </w:p>
    <w:p w14:paraId="5F3E5F3B" w14:textId="25C0EF03" w:rsidR="002905BB" w:rsidRDefault="002905BB" w:rsidP="001D0AF6">
      <w:pPr>
        <w:spacing w:before="240" w:after="240"/>
        <w:jc w:val="both"/>
        <w:rPr>
          <w:b/>
          <w:sz w:val="28"/>
          <w:szCs w:val="28"/>
          <w:u w:val="single"/>
        </w:rPr>
      </w:pPr>
      <w:r w:rsidRPr="001D0AF6">
        <w:rPr>
          <w:b/>
          <w:sz w:val="28"/>
          <w:szCs w:val="28"/>
          <w:u w:val="single"/>
        </w:rPr>
        <w:t>Bottom Line:</w:t>
      </w:r>
    </w:p>
    <w:p w14:paraId="6B545929" w14:textId="5936C93C" w:rsidR="00843F5B" w:rsidRPr="007610CB" w:rsidRDefault="007610CB" w:rsidP="001D0AF6">
      <w:pPr>
        <w:spacing w:before="240" w:after="240"/>
        <w:jc w:val="both"/>
        <w:rPr>
          <w:b/>
          <w:sz w:val="28"/>
          <w:szCs w:val="28"/>
        </w:rPr>
      </w:pPr>
      <w:r w:rsidRPr="007610CB">
        <w:rPr>
          <w:b/>
          <w:sz w:val="28"/>
          <w:szCs w:val="28"/>
        </w:rPr>
        <w:t>In this retrospective analysis of prospectively collected data, the use of the standard YEARS algorithm (D-dimer &lt; 1000</w:t>
      </w:r>
      <w:r w:rsidR="0072674D">
        <w:rPr>
          <w:b/>
          <w:sz w:val="28"/>
          <w:szCs w:val="28"/>
        </w:rPr>
        <w:t xml:space="preserve"> ng/mL</w:t>
      </w:r>
      <w:r w:rsidRPr="007610CB">
        <w:rPr>
          <w:b/>
          <w:sz w:val="28"/>
          <w:szCs w:val="28"/>
        </w:rPr>
        <w:t xml:space="preserve"> in patients with 0 YEARS criteria and &lt; 500</w:t>
      </w:r>
      <w:r w:rsidR="0072674D">
        <w:rPr>
          <w:b/>
          <w:sz w:val="28"/>
          <w:szCs w:val="28"/>
        </w:rPr>
        <w:t xml:space="preserve"> ng/mL</w:t>
      </w:r>
      <w:r w:rsidRPr="007610CB">
        <w:rPr>
          <w:b/>
          <w:sz w:val="28"/>
          <w:szCs w:val="28"/>
        </w:rPr>
        <w:t xml:space="preserve"> in patients 1 or more YEARS criteria) resulted in a miss rate of 1.2% (95% CI 0.8-1.9).</w:t>
      </w:r>
      <w:r>
        <w:rPr>
          <w:b/>
          <w:sz w:val="28"/>
          <w:szCs w:val="28"/>
        </w:rPr>
        <w:t xml:space="preserve"> Use a modified YEARS algorithm with an age-adjusted D-dimer cutoff for patients with no YEARS criteria resulted in a miss </w:t>
      </w:r>
      <w:r w:rsidRPr="007610CB">
        <w:rPr>
          <w:b/>
          <w:sz w:val="28"/>
          <w:szCs w:val="28"/>
        </w:rPr>
        <w:t>rate of 0.0%, 95% CI 0.0-0.4%.</w:t>
      </w:r>
    </w:p>
    <w:sectPr w:rsidR="00843F5B" w:rsidRPr="007610CB" w:rsidSect="0002330C">
      <w:footnotePr>
        <w:numFmt w:val="chicago"/>
      </w:footnotePr>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27F1"/>
    <w:multiLevelType w:val="hybridMultilevel"/>
    <w:tmpl w:val="00E6A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B25D9F"/>
    <w:multiLevelType w:val="hybridMultilevel"/>
    <w:tmpl w:val="B4A0D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F"/>
    <w:rsid w:val="0002330C"/>
    <w:rsid w:val="00074304"/>
    <w:rsid w:val="00093D41"/>
    <w:rsid w:val="000A576E"/>
    <w:rsid w:val="000E6115"/>
    <w:rsid w:val="001375FD"/>
    <w:rsid w:val="001833D6"/>
    <w:rsid w:val="001B1594"/>
    <w:rsid w:val="001D0AF6"/>
    <w:rsid w:val="00264B04"/>
    <w:rsid w:val="00271AA4"/>
    <w:rsid w:val="002905BB"/>
    <w:rsid w:val="00340A39"/>
    <w:rsid w:val="003E5F08"/>
    <w:rsid w:val="003F1106"/>
    <w:rsid w:val="003F388F"/>
    <w:rsid w:val="004E3C71"/>
    <w:rsid w:val="005F5E96"/>
    <w:rsid w:val="006B3C30"/>
    <w:rsid w:val="00706DEA"/>
    <w:rsid w:val="0072674D"/>
    <w:rsid w:val="007610CB"/>
    <w:rsid w:val="007B1A43"/>
    <w:rsid w:val="007F74B5"/>
    <w:rsid w:val="00843F5B"/>
    <w:rsid w:val="008D55C6"/>
    <w:rsid w:val="00A43C83"/>
    <w:rsid w:val="00AC51BE"/>
    <w:rsid w:val="00B17159"/>
    <w:rsid w:val="00B67DD9"/>
    <w:rsid w:val="00BC317C"/>
    <w:rsid w:val="00C22498"/>
    <w:rsid w:val="00CA1B9E"/>
    <w:rsid w:val="00DA54E6"/>
    <w:rsid w:val="00DF131C"/>
    <w:rsid w:val="00E002FC"/>
    <w:rsid w:val="00E6037B"/>
    <w:rsid w:val="00E82D17"/>
    <w:rsid w:val="00F0336C"/>
    <w:rsid w:val="00FC473C"/>
    <w:rsid w:val="00FF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D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A43C83"/>
    <w:rPr>
      <w:color w:val="0000FF"/>
      <w:u w:val="single"/>
    </w:rPr>
  </w:style>
  <w:style w:type="paragraph" w:styleId="ListParagraph">
    <w:name w:val="List Paragraph"/>
    <w:basedOn w:val="Normal"/>
    <w:uiPriority w:val="34"/>
    <w:qFormat/>
    <w:rsid w:val="00B67D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2330C"/>
    <w:rPr>
      <w:sz w:val="20"/>
      <w:szCs w:val="20"/>
    </w:rPr>
  </w:style>
  <w:style w:type="character" w:styleId="FootnoteReference">
    <w:name w:val="footnote reference"/>
    <w:basedOn w:val="DefaultParagraphFont"/>
    <w:semiHidden/>
    <w:rsid w:val="0002330C"/>
    <w:rPr>
      <w:vertAlign w:val="superscript"/>
    </w:rPr>
  </w:style>
  <w:style w:type="character" w:styleId="Hyperlink">
    <w:name w:val="Hyperlink"/>
    <w:basedOn w:val="DefaultParagraphFont"/>
    <w:uiPriority w:val="99"/>
    <w:unhideWhenUsed/>
    <w:rsid w:val="00A43C83"/>
    <w:rPr>
      <w:color w:val="0000FF"/>
      <w:u w:val="single"/>
    </w:rPr>
  </w:style>
  <w:style w:type="paragraph" w:styleId="ListParagraph">
    <w:name w:val="List Paragraph"/>
    <w:basedOn w:val="Normal"/>
    <w:uiPriority w:val="34"/>
    <w:qFormat/>
    <w:rsid w:val="00B6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279">
      <w:bodyDiv w:val="1"/>
      <w:marLeft w:val="0"/>
      <w:marRight w:val="0"/>
      <w:marTop w:val="0"/>
      <w:marBottom w:val="0"/>
      <w:divBdr>
        <w:top w:val="none" w:sz="0" w:space="0" w:color="auto"/>
        <w:left w:val="none" w:sz="0" w:space="0" w:color="auto"/>
        <w:bottom w:val="none" w:sz="0" w:space="0" w:color="auto"/>
        <w:right w:val="none" w:sz="0" w:space="0" w:color="auto"/>
      </w:divBdr>
      <w:divsChild>
        <w:div w:id="426735453">
          <w:marLeft w:val="0"/>
          <w:marRight w:val="0"/>
          <w:marTop w:val="0"/>
          <w:marBottom w:val="0"/>
          <w:divBdr>
            <w:top w:val="none" w:sz="0" w:space="0" w:color="auto"/>
            <w:left w:val="none" w:sz="0" w:space="0" w:color="auto"/>
            <w:bottom w:val="none" w:sz="0" w:space="0" w:color="auto"/>
            <w:right w:val="none" w:sz="0" w:space="0" w:color="auto"/>
          </w:divBdr>
        </w:div>
        <w:div w:id="1503349973">
          <w:marLeft w:val="0"/>
          <w:marRight w:val="0"/>
          <w:marTop w:val="0"/>
          <w:marBottom w:val="0"/>
          <w:divBdr>
            <w:top w:val="none" w:sz="0" w:space="0" w:color="auto"/>
            <w:left w:val="none" w:sz="0" w:space="0" w:color="auto"/>
            <w:bottom w:val="none" w:sz="0" w:space="0" w:color="auto"/>
            <w:right w:val="none" w:sz="0" w:space="0" w:color="auto"/>
          </w:divBdr>
        </w:div>
        <w:div w:id="931474158">
          <w:marLeft w:val="0"/>
          <w:marRight w:val="0"/>
          <w:marTop w:val="0"/>
          <w:marBottom w:val="0"/>
          <w:divBdr>
            <w:top w:val="none" w:sz="0" w:space="0" w:color="auto"/>
            <w:left w:val="none" w:sz="0" w:space="0" w:color="auto"/>
            <w:bottom w:val="none" w:sz="0" w:space="0" w:color="auto"/>
            <w:right w:val="none" w:sz="0" w:space="0" w:color="auto"/>
          </w:divBdr>
        </w:div>
        <w:div w:id="193078503">
          <w:marLeft w:val="0"/>
          <w:marRight w:val="0"/>
          <w:marTop w:val="0"/>
          <w:marBottom w:val="0"/>
          <w:divBdr>
            <w:top w:val="none" w:sz="0" w:space="0" w:color="auto"/>
            <w:left w:val="none" w:sz="0" w:space="0" w:color="auto"/>
            <w:bottom w:val="none" w:sz="0" w:space="0" w:color="auto"/>
            <w:right w:val="none" w:sz="0" w:space="0" w:color="auto"/>
          </w:divBdr>
        </w:div>
        <w:div w:id="1189442396">
          <w:marLeft w:val="0"/>
          <w:marRight w:val="0"/>
          <w:marTop w:val="0"/>
          <w:marBottom w:val="0"/>
          <w:divBdr>
            <w:top w:val="none" w:sz="0" w:space="0" w:color="auto"/>
            <w:left w:val="none" w:sz="0" w:space="0" w:color="auto"/>
            <w:bottom w:val="none" w:sz="0" w:space="0" w:color="auto"/>
            <w:right w:val="none" w:sz="0" w:space="0" w:color="auto"/>
          </w:divBdr>
        </w:div>
        <w:div w:id="1231647699">
          <w:marLeft w:val="0"/>
          <w:marRight w:val="0"/>
          <w:marTop w:val="0"/>
          <w:marBottom w:val="0"/>
          <w:divBdr>
            <w:top w:val="none" w:sz="0" w:space="0" w:color="auto"/>
            <w:left w:val="none" w:sz="0" w:space="0" w:color="auto"/>
            <w:bottom w:val="none" w:sz="0" w:space="0" w:color="auto"/>
            <w:right w:val="none" w:sz="0" w:space="0" w:color="auto"/>
          </w:divBdr>
        </w:div>
        <w:div w:id="42828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IFbU84IfmI" TargetMode="External"/><Relationship Id="rId12" Type="http://schemas.openxmlformats.org/officeDocument/2006/relationships/hyperlink" Target="https://first10em.com/ebm/incorporation-bia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32869501" TargetMode="External"/><Relationship Id="rId7" Type="http://schemas.openxmlformats.org/officeDocument/2006/relationships/hyperlink" Target="http://pmid.us/32869501" TargetMode="External"/><Relationship Id="rId8" Type="http://schemas.openxmlformats.org/officeDocument/2006/relationships/hyperlink" Target="https://www.analyticsvidhya.com/blog/2016/06/bayesian-statistics-beginners-simple-english/" TargetMode="External"/><Relationship Id="rId9" Type="http://schemas.openxmlformats.org/officeDocument/2006/relationships/hyperlink" Target="http://www.cmaj.ca/content/173/4/385.full.pdf" TargetMode="External"/><Relationship Id="rId10" Type="http://schemas.openxmlformats.org/officeDocument/2006/relationships/hyperlink" Target="https://www.youtube.com/watch?v=qIFbU84If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1383</Words>
  <Characters>7887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vt:lpstr>
    </vt:vector>
  </TitlesOfParts>
  <Company>WUMS</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subject/>
  <dc:creator>carpentc</dc:creator>
  <cp:keywords/>
  <dc:description/>
  <cp:lastModifiedBy>Brian Cohn</cp:lastModifiedBy>
  <cp:revision>30</cp:revision>
  <cp:lastPrinted>2004-07-26T17:57:00Z</cp:lastPrinted>
  <dcterms:created xsi:type="dcterms:W3CDTF">2020-03-13T23:05:00Z</dcterms:created>
  <dcterms:modified xsi:type="dcterms:W3CDTF">2022-03-01T02:40:00Z</dcterms:modified>
</cp:coreProperties>
</file>