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DC07E" w14:textId="7B2F9CAD" w:rsidR="00E6037B" w:rsidRDefault="00892180" w:rsidP="00E002FC">
      <w:pPr>
        <w:jc w:val="center"/>
        <w:rPr>
          <w:b/>
          <w:sz w:val="28"/>
          <w:szCs w:val="28"/>
        </w:rPr>
      </w:pPr>
      <w:r>
        <w:rPr>
          <w:noProof/>
        </w:rPr>
        <mc:AlternateContent>
          <mc:Choice Requires="wps">
            <w:drawing>
              <wp:anchor distT="0" distB="0" distL="114300" distR="114300" simplePos="0" relativeHeight="251660288" behindDoc="0" locked="0" layoutInCell="1" allowOverlap="1" wp14:anchorId="3F485022" wp14:editId="650BAEF3">
                <wp:simplePos x="0" y="0"/>
                <wp:positionH relativeFrom="column">
                  <wp:posOffset>6457315</wp:posOffset>
                </wp:positionH>
                <wp:positionV relativeFrom="paragraph">
                  <wp:posOffset>-228600</wp:posOffset>
                </wp:positionV>
                <wp:extent cx="629285" cy="280035"/>
                <wp:effectExtent l="0" t="0" r="31115" b="24765"/>
                <wp:wrapNone/>
                <wp:docPr id="2" name="Text Box 2"/>
                <wp:cNvGraphicFramePr/>
                <a:graphic xmlns:a="http://schemas.openxmlformats.org/drawingml/2006/main">
                  <a:graphicData uri="http://schemas.microsoft.com/office/word/2010/wordprocessingShape">
                    <wps:wsp>
                      <wps:cNvSpPr txBox="1"/>
                      <wps:spPr>
                        <a:xfrm>
                          <a:off x="0" y="0"/>
                          <a:ext cx="629285" cy="280035"/>
                        </a:xfrm>
                        <a:prstGeom prst="rect">
                          <a:avLst/>
                        </a:prstGeom>
                        <a:solidFill>
                          <a:schemeClr val="lt1"/>
                        </a:solidFill>
                        <a:ln w="6350">
                          <a:solidFill>
                            <a:prstClr val="black"/>
                          </a:solidFill>
                        </a:ln>
                      </wps:spPr>
                      <wps:txbx>
                        <w:txbxContent>
                          <w:p w14:paraId="3D1126BC" w14:textId="7908C883" w:rsidR="00C8637B" w:rsidRDefault="00C8637B">
                            <w:r>
                              <w:t>PGY-2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2" o:spid="_x0000_s1026" type="#_x0000_t202" style="position:absolute;left:0;text-align:left;margin-left:508.45pt;margin-top:-17.95pt;width:49.55pt;height:22.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" fillcolor="white [3201]" strokeweight=".5pt">
                <v:textbox>
                  <w:txbxContent>
                    <w:p w14:paraId="3D1126BC" w14:textId="7908C883" w:rsidR="00C8637B" w:rsidRDefault="00C8637B">
                      <w:r>
                        <w:t>PGY-2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9C3E152" wp14:editId="6C9A8651">
                <wp:simplePos x="0" y="0"/>
                <wp:positionH relativeFrom="column">
                  <wp:posOffset>342900</wp:posOffset>
                </wp:positionH>
                <wp:positionV relativeFrom="paragraph">
                  <wp:posOffset>-114300</wp:posOffset>
                </wp:positionV>
                <wp:extent cx="6057900" cy="1371600"/>
                <wp:effectExtent l="0" t="0" r="381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1371600"/>
                        </a:xfrm>
                        <a:prstGeom prst="rect">
                          <a:avLst/>
                        </a:prstGeom>
                        <a:solidFill>
                          <a:srgbClr val="FFFFFF"/>
                        </a:solidFill>
                        <a:ln w="9525">
                          <a:solidFill>
                            <a:srgbClr val="000000"/>
                          </a:solidFill>
                          <a:miter lim="800000"/>
                          <a:headEnd/>
                          <a:tailEnd/>
                        </a:ln>
                      </wps:spPr>
                      <wps:txbx>
                        <w:txbxContent>
                          <w:p w14:paraId="11F4A693" w14:textId="77777777" w:rsidR="00C8637B" w:rsidRDefault="00C8637B" w:rsidP="00E6037B">
                            <w:pPr>
                              <w:jc w:val="center"/>
                              <w:rPr>
                                <w:b/>
                                <w:sz w:val="28"/>
                                <w:szCs w:val="28"/>
                              </w:rPr>
                            </w:pPr>
                            <w:r>
                              <w:rPr>
                                <w:b/>
                                <w:sz w:val="28"/>
                                <w:szCs w:val="28"/>
                              </w:rPr>
                              <w:t>Critical Review Form</w:t>
                            </w:r>
                          </w:p>
                          <w:p w14:paraId="71A71769" w14:textId="77777777" w:rsidR="00C8637B" w:rsidRDefault="00C8637B" w:rsidP="00E6037B">
                            <w:pPr>
                              <w:jc w:val="center"/>
                              <w:rPr>
                                <w:b/>
                                <w:sz w:val="28"/>
                                <w:szCs w:val="28"/>
                              </w:rPr>
                            </w:pPr>
                            <w:r w:rsidRPr="00E002FC">
                              <w:rPr>
                                <w:b/>
                                <w:sz w:val="28"/>
                                <w:szCs w:val="28"/>
                              </w:rPr>
                              <w:t xml:space="preserve">  Clinical Prediction or Decision Rule</w:t>
                            </w:r>
                          </w:p>
                          <w:p w14:paraId="5FDA52A7" w14:textId="77777777" w:rsidR="00C8637B" w:rsidRDefault="00C8637B" w:rsidP="00E6037B">
                            <w:pPr>
                              <w:jc w:val="center"/>
                              <w:rPr>
                                <w:b/>
                                <w:sz w:val="28"/>
                                <w:szCs w:val="28"/>
                              </w:rPr>
                            </w:pPr>
                          </w:p>
                          <w:p w14:paraId="55A1A736" w14:textId="63C9C900" w:rsidR="00C8637B" w:rsidRPr="00892180" w:rsidRDefault="0041783D" w:rsidP="00E6037B">
                            <w:pPr>
                              <w:jc w:val="center"/>
                              <w:rPr>
                                <w:b/>
                                <w:sz w:val="28"/>
                                <w:szCs w:val="28"/>
                              </w:rPr>
                            </w:pPr>
                            <w:hyperlink r:id="rId6" w:history="1">
                              <w:proofErr w:type="spellStart"/>
                              <w:r w:rsidR="00C8637B" w:rsidRPr="00892180">
                                <w:rPr>
                                  <w:color w:val="000087"/>
                                  <w:sz w:val="28"/>
                                  <w:szCs w:val="28"/>
                                  <w:u w:val="single" w:color="000087"/>
                                </w:rPr>
                                <w:t>Kabrhel</w:t>
                              </w:r>
                              <w:proofErr w:type="spellEnd"/>
                              <w:r w:rsidR="00C8637B" w:rsidRPr="00892180">
                                <w:rPr>
                                  <w:color w:val="000087"/>
                                  <w:sz w:val="28"/>
                                  <w:szCs w:val="28"/>
                                  <w:u w:val="single" w:color="000087"/>
                                </w:rPr>
                                <w:t xml:space="preserve"> C, Van </w:t>
                              </w:r>
                              <w:proofErr w:type="spellStart"/>
                              <w:r w:rsidR="00C8637B" w:rsidRPr="00892180">
                                <w:rPr>
                                  <w:color w:val="000087"/>
                                  <w:sz w:val="28"/>
                                  <w:szCs w:val="28"/>
                                  <w:u w:val="single" w:color="000087"/>
                                </w:rPr>
                                <w:t>Hylckama</w:t>
                              </w:r>
                              <w:proofErr w:type="spellEnd"/>
                              <w:r w:rsidR="00C8637B" w:rsidRPr="00892180">
                                <w:rPr>
                                  <w:color w:val="000087"/>
                                  <w:sz w:val="28"/>
                                  <w:szCs w:val="28"/>
                                  <w:u w:val="single" w:color="000087"/>
                                </w:rPr>
                                <w:t xml:space="preserve"> </w:t>
                              </w:r>
                              <w:proofErr w:type="spellStart"/>
                              <w:r w:rsidR="00C8637B" w:rsidRPr="00892180">
                                <w:rPr>
                                  <w:color w:val="000087"/>
                                  <w:sz w:val="28"/>
                                  <w:szCs w:val="28"/>
                                  <w:u w:val="single" w:color="000087"/>
                                </w:rPr>
                                <w:t>Vlieg</w:t>
                              </w:r>
                              <w:proofErr w:type="spellEnd"/>
                              <w:r w:rsidR="00C8637B" w:rsidRPr="00892180">
                                <w:rPr>
                                  <w:color w:val="000087"/>
                                  <w:sz w:val="28"/>
                                  <w:szCs w:val="28"/>
                                  <w:u w:val="single" w:color="000087"/>
                                </w:rPr>
                                <w:t xml:space="preserve"> A, </w:t>
                              </w:r>
                              <w:proofErr w:type="spellStart"/>
                              <w:r w:rsidR="00C8637B" w:rsidRPr="00892180">
                                <w:rPr>
                                  <w:color w:val="000087"/>
                                  <w:sz w:val="28"/>
                                  <w:szCs w:val="28"/>
                                  <w:u w:val="single" w:color="000087"/>
                                </w:rPr>
                                <w:t>Muzikanski</w:t>
                              </w:r>
                              <w:proofErr w:type="spellEnd"/>
                              <w:r w:rsidR="00C8637B" w:rsidRPr="00892180">
                                <w:rPr>
                                  <w:color w:val="000087"/>
                                  <w:sz w:val="28"/>
                                  <w:szCs w:val="28"/>
                                  <w:u w:val="single" w:color="000087"/>
                                </w:rPr>
                                <w:t xml:space="preserve"> A, et al. Multicenter Evaluation of the YEARS Criteria in Emergency Department Patients Evaluated for Pulmonary Embolism. </w:t>
                              </w:r>
                              <w:proofErr w:type="spellStart"/>
                              <w:r w:rsidR="00C8637B" w:rsidRPr="00892180">
                                <w:rPr>
                                  <w:color w:val="000087"/>
                                  <w:sz w:val="28"/>
                                  <w:szCs w:val="28"/>
                                  <w:u w:val="single" w:color="000087"/>
                                </w:rPr>
                                <w:t>Acad</w:t>
                              </w:r>
                              <w:proofErr w:type="spellEnd"/>
                              <w:r w:rsidR="00C8637B" w:rsidRPr="00892180">
                                <w:rPr>
                                  <w:color w:val="000087"/>
                                  <w:sz w:val="28"/>
                                  <w:szCs w:val="28"/>
                                  <w:u w:val="single" w:color="000087"/>
                                </w:rPr>
                                <w:t xml:space="preserve"> </w:t>
                              </w:r>
                              <w:proofErr w:type="spellStart"/>
                              <w:r w:rsidR="00C8637B" w:rsidRPr="00892180">
                                <w:rPr>
                                  <w:color w:val="000087"/>
                                  <w:sz w:val="28"/>
                                  <w:szCs w:val="28"/>
                                  <w:u w:val="single" w:color="000087"/>
                                </w:rPr>
                                <w:t>Emerg</w:t>
                              </w:r>
                              <w:proofErr w:type="spellEnd"/>
                              <w:r w:rsidR="00C8637B" w:rsidRPr="00892180">
                                <w:rPr>
                                  <w:color w:val="000087"/>
                                  <w:sz w:val="28"/>
                                  <w:szCs w:val="28"/>
                                  <w:u w:val="single" w:color="000087"/>
                                </w:rPr>
                                <w:t xml:space="preserve"> Med. 2018 Sep;25(9):987-994.</w:t>
                              </w:r>
                            </w:hyperlink>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27pt;margin-top:-8.95pt;width:47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">
                <v:path arrowok="t"/>
                <v:textbox>
                  <w:txbxContent>
                    <w:p w14:paraId="11F4A693" w14:textId="77777777" w:rsidR="00C8637B" w:rsidRDefault="00C8637B" w:rsidP="00E6037B">
                      <w:pPr>
                        <w:jc w:val="center"/>
                        <w:rPr>
                          <w:b/>
                          <w:sz w:val="28"/>
                          <w:szCs w:val="28"/>
                        </w:rPr>
                      </w:pPr>
                      <w:r>
                        <w:rPr>
                          <w:b/>
                          <w:sz w:val="28"/>
                          <w:szCs w:val="28"/>
                        </w:rPr>
                        <w:t>Critical Review Form</w:t>
                      </w:r>
                    </w:p>
                    <w:p w14:paraId="71A71769" w14:textId="77777777" w:rsidR="00C8637B" w:rsidRDefault="00C8637B" w:rsidP="00E6037B">
                      <w:pPr>
                        <w:jc w:val="center"/>
                        <w:rPr>
                          <w:b/>
                          <w:sz w:val="28"/>
                          <w:szCs w:val="28"/>
                        </w:rPr>
                      </w:pPr>
                      <w:r w:rsidRPr="00E002FC">
                        <w:rPr>
                          <w:b/>
                          <w:sz w:val="28"/>
                          <w:szCs w:val="28"/>
                        </w:rPr>
                        <w:t xml:space="preserve">  Clinical Prediction or Decision Rule</w:t>
                      </w:r>
                    </w:p>
                    <w:p w14:paraId="5FDA52A7" w14:textId="77777777" w:rsidR="00C8637B" w:rsidRDefault="00C8637B" w:rsidP="00E6037B">
                      <w:pPr>
                        <w:jc w:val="center"/>
                        <w:rPr>
                          <w:b/>
                          <w:sz w:val="28"/>
                          <w:szCs w:val="28"/>
                        </w:rPr>
                      </w:pPr>
                    </w:p>
                    <w:p w14:paraId="55A1A736" w14:textId="63C9C900" w:rsidR="00C8637B" w:rsidRPr="00892180" w:rsidRDefault="0041783D" w:rsidP="00E6037B">
                      <w:pPr>
                        <w:jc w:val="center"/>
                        <w:rPr>
                          <w:b/>
                          <w:sz w:val="28"/>
                          <w:szCs w:val="28"/>
                        </w:rPr>
                      </w:pPr>
                      <w:hyperlink r:id="rId7" w:history="1">
                        <w:proofErr w:type="spellStart"/>
                        <w:r w:rsidR="00C8637B" w:rsidRPr="00892180">
                          <w:rPr>
                            <w:color w:val="000087"/>
                            <w:sz w:val="28"/>
                            <w:szCs w:val="28"/>
                            <w:u w:val="single" w:color="000087"/>
                          </w:rPr>
                          <w:t>Kabrhel</w:t>
                        </w:r>
                        <w:proofErr w:type="spellEnd"/>
                        <w:r w:rsidR="00C8637B" w:rsidRPr="00892180">
                          <w:rPr>
                            <w:color w:val="000087"/>
                            <w:sz w:val="28"/>
                            <w:szCs w:val="28"/>
                            <w:u w:val="single" w:color="000087"/>
                          </w:rPr>
                          <w:t xml:space="preserve"> C, Van </w:t>
                        </w:r>
                        <w:proofErr w:type="spellStart"/>
                        <w:r w:rsidR="00C8637B" w:rsidRPr="00892180">
                          <w:rPr>
                            <w:color w:val="000087"/>
                            <w:sz w:val="28"/>
                            <w:szCs w:val="28"/>
                            <w:u w:val="single" w:color="000087"/>
                          </w:rPr>
                          <w:t>Hylckama</w:t>
                        </w:r>
                        <w:proofErr w:type="spellEnd"/>
                        <w:r w:rsidR="00C8637B" w:rsidRPr="00892180">
                          <w:rPr>
                            <w:color w:val="000087"/>
                            <w:sz w:val="28"/>
                            <w:szCs w:val="28"/>
                            <w:u w:val="single" w:color="000087"/>
                          </w:rPr>
                          <w:t xml:space="preserve"> </w:t>
                        </w:r>
                        <w:proofErr w:type="spellStart"/>
                        <w:r w:rsidR="00C8637B" w:rsidRPr="00892180">
                          <w:rPr>
                            <w:color w:val="000087"/>
                            <w:sz w:val="28"/>
                            <w:szCs w:val="28"/>
                            <w:u w:val="single" w:color="000087"/>
                          </w:rPr>
                          <w:t>Vlieg</w:t>
                        </w:r>
                        <w:proofErr w:type="spellEnd"/>
                        <w:r w:rsidR="00C8637B" w:rsidRPr="00892180">
                          <w:rPr>
                            <w:color w:val="000087"/>
                            <w:sz w:val="28"/>
                            <w:szCs w:val="28"/>
                            <w:u w:val="single" w:color="000087"/>
                          </w:rPr>
                          <w:t xml:space="preserve"> A, </w:t>
                        </w:r>
                        <w:proofErr w:type="spellStart"/>
                        <w:r w:rsidR="00C8637B" w:rsidRPr="00892180">
                          <w:rPr>
                            <w:color w:val="000087"/>
                            <w:sz w:val="28"/>
                            <w:szCs w:val="28"/>
                            <w:u w:val="single" w:color="000087"/>
                          </w:rPr>
                          <w:t>Muzikanski</w:t>
                        </w:r>
                        <w:proofErr w:type="spellEnd"/>
                        <w:r w:rsidR="00C8637B" w:rsidRPr="00892180">
                          <w:rPr>
                            <w:color w:val="000087"/>
                            <w:sz w:val="28"/>
                            <w:szCs w:val="28"/>
                            <w:u w:val="single" w:color="000087"/>
                          </w:rPr>
                          <w:t xml:space="preserve"> A, et al. Multicenter Evaluation of the YEARS Criteria in Emergency Department Patients Evaluated for Pulmonary Embolism. </w:t>
                        </w:r>
                        <w:proofErr w:type="spellStart"/>
                        <w:r w:rsidR="00C8637B" w:rsidRPr="00892180">
                          <w:rPr>
                            <w:color w:val="000087"/>
                            <w:sz w:val="28"/>
                            <w:szCs w:val="28"/>
                            <w:u w:val="single" w:color="000087"/>
                          </w:rPr>
                          <w:t>Acad</w:t>
                        </w:r>
                        <w:proofErr w:type="spellEnd"/>
                        <w:r w:rsidR="00C8637B" w:rsidRPr="00892180">
                          <w:rPr>
                            <w:color w:val="000087"/>
                            <w:sz w:val="28"/>
                            <w:szCs w:val="28"/>
                            <w:u w:val="single" w:color="000087"/>
                          </w:rPr>
                          <w:t xml:space="preserve"> </w:t>
                        </w:r>
                        <w:proofErr w:type="spellStart"/>
                        <w:r w:rsidR="00C8637B" w:rsidRPr="00892180">
                          <w:rPr>
                            <w:color w:val="000087"/>
                            <w:sz w:val="28"/>
                            <w:szCs w:val="28"/>
                            <w:u w:val="single" w:color="000087"/>
                          </w:rPr>
                          <w:t>Emerg</w:t>
                        </w:r>
                        <w:proofErr w:type="spellEnd"/>
                        <w:r w:rsidR="00C8637B" w:rsidRPr="00892180">
                          <w:rPr>
                            <w:color w:val="000087"/>
                            <w:sz w:val="28"/>
                            <w:szCs w:val="28"/>
                            <w:u w:val="single" w:color="000087"/>
                          </w:rPr>
                          <w:t xml:space="preserve"> Med. 2018 Sep;25(9):987-994.</w:t>
                        </w:r>
                      </w:hyperlink>
                      <w:bookmarkStart w:id="1" w:name="_GoBack"/>
                      <w:bookmarkEnd w:id="1"/>
                    </w:p>
                  </w:txbxContent>
                </v:textbox>
                <w10:wrap type="square"/>
              </v:shape>
            </w:pict>
          </mc:Fallback>
        </mc:AlternateContent>
      </w:r>
    </w:p>
    <w:p w14:paraId="75E19590" w14:textId="77777777" w:rsidR="00E6037B" w:rsidRDefault="00E6037B" w:rsidP="00E002FC">
      <w:pPr>
        <w:jc w:val="center"/>
        <w:rPr>
          <w:b/>
          <w:sz w:val="28"/>
          <w:szCs w:val="28"/>
        </w:rPr>
      </w:pPr>
    </w:p>
    <w:p w14:paraId="59DEDC1E" w14:textId="77777777" w:rsidR="00E6037B" w:rsidRDefault="00E6037B" w:rsidP="00E002FC">
      <w:pPr>
        <w:jc w:val="center"/>
        <w:rPr>
          <w:b/>
          <w:sz w:val="28"/>
          <w:szCs w:val="28"/>
        </w:rPr>
      </w:pPr>
    </w:p>
    <w:p w14:paraId="4495C2A9" w14:textId="77777777" w:rsidR="00E6037B" w:rsidRDefault="00E6037B" w:rsidP="00E002FC">
      <w:pPr>
        <w:jc w:val="center"/>
        <w:rPr>
          <w:b/>
          <w:sz w:val="28"/>
          <w:szCs w:val="28"/>
        </w:rPr>
      </w:pPr>
    </w:p>
    <w:p w14:paraId="5D702271" w14:textId="77777777" w:rsidR="007B1A43" w:rsidRDefault="007B1A43" w:rsidP="00E6037B">
      <w:pPr>
        <w:spacing w:before="240" w:after="240"/>
        <w:jc w:val="both"/>
        <w:rPr>
          <w:b/>
          <w:sz w:val="28"/>
          <w:szCs w:val="28"/>
          <w:u w:val="single"/>
        </w:rPr>
      </w:pPr>
    </w:p>
    <w:p w14:paraId="4404C902" w14:textId="6F925F5E" w:rsidR="00B363B9" w:rsidRPr="00B363B9" w:rsidRDefault="00E6037B" w:rsidP="00B363B9">
      <w:pPr>
        <w:widowControl w:val="0"/>
        <w:autoSpaceDE w:val="0"/>
        <w:autoSpaceDN w:val="0"/>
        <w:adjustRightInd w:val="0"/>
        <w:spacing w:after="240" w:line="340" w:lineRule="atLeast"/>
        <w:jc w:val="both"/>
        <w:rPr>
          <w:b/>
          <w:color w:val="000000"/>
          <w:sz w:val="28"/>
          <w:szCs w:val="28"/>
        </w:rPr>
      </w:pPr>
      <w:r w:rsidRPr="00B363B9">
        <w:rPr>
          <w:b/>
          <w:sz w:val="28"/>
          <w:szCs w:val="28"/>
          <w:u w:val="single"/>
        </w:rPr>
        <w:t>Objectives:</w:t>
      </w:r>
      <w:r w:rsidR="00B363B9" w:rsidRPr="00B363B9">
        <w:rPr>
          <w:b/>
          <w:sz w:val="28"/>
          <w:szCs w:val="28"/>
        </w:rPr>
        <w:t xml:space="preserve"> To test the hypothesis "</w:t>
      </w:r>
      <w:r w:rsidR="00B363B9" w:rsidRPr="00B363B9">
        <w:rPr>
          <w:b/>
          <w:color w:val="000000"/>
          <w:sz w:val="28"/>
          <w:szCs w:val="28"/>
        </w:rPr>
        <w:t>that usi</w:t>
      </w:r>
      <w:r w:rsidR="004E7ABE">
        <w:rPr>
          <w:b/>
          <w:color w:val="000000"/>
          <w:sz w:val="28"/>
          <w:szCs w:val="28"/>
        </w:rPr>
        <w:t>ng a positivity threshold [for D</w:t>
      </w:r>
      <w:r w:rsidR="00B363B9" w:rsidRPr="00B363B9">
        <w:rPr>
          <w:b/>
          <w:color w:val="000000"/>
          <w:sz w:val="28"/>
          <w:szCs w:val="28"/>
        </w:rPr>
        <w:t>-dimer] of 1,000 mg/dL in patients with no YEARS criteria would result in a reduction of unnecessary imaging with no increase in missed PE compared to the current standard of care." (p. 988)</w:t>
      </w:r>
    </w:p>
    <w:p w14:paraId="14396C35" w14:textId="5C563CD4" w:rsidR="00E6037B" w:rsidRDefault="00E6037B" w:rsidP="00B363B9">
      <w:pPr>
        <w:spacing w:before="240" w:after="240"/>
        <w:jc w:val="both"/>
        <w:rPr>
          <w:b/>
          <w:sz w:val="28"/>
          <w:szCs w:val="28"/>
        </w:rPr>
      </w:pPr>
      <w:r w:rsidRPr="00B363B9">
        <w:rPr>
          <w:b/>
          <w:sz w:val="28"/>
          <w:szCs w:val="28"/>
          <w:u w:val="single"/>
        </w:rPr>
        <w:t>Methods:</w:t>
      </w:r>
      <w:r w:rsidR="00925870">
        <w:rPr>
          <w:b/>
          <w:sz w:val="28"/>
          <w:szCs w:val="28"/>
        </w:rPr>
        <w:t xml:space="preserve"> This prospective, observational study was conducted in 15 EDs in the US between February 2014 and April 2015. Consecutive adult patients 18 years of age and older with suspected PE who were referred for objective testing (including d-dimer) were eligible for enrollment. Patients in whom PE was ruled out clinically (e.g. by negative </w:t>
      </w:r>
      <w:hyperlink r:id="rId8" w:history="1">
        <w:r w:rsidR="00925870" w:rsidRPr="00925870">
          <w:rPr>
            <w:rStyle w:val="Hyperlink"/>
            <w:b/>
            <w:sz w:val="28"/>
            <w:szCs w:val="28"/>
          </w:rPr>
          <w:t>PERC criteria</w:t>
        </w:r>
      </w:hyperlink>
      <w:r w:rsidR="00925870">
        <w:rPr>
          <w:b/>
          <w:sz w:val="28"/>
          <w:szCs w:val="28"/>
        </w:rPr>
        <w:t>) were exclu</w:t>
      </w:r>
      <w:r w:rsidR="00707D00">
        <w:rPr>
          <w:b/>
          <w:sz w:val="28"/>
          <w:szCs w:val="28"/>
        </w:rPr>
        <w:t>d</w:t>
      </w:r>
      <w:r w:rsidR="00925870">
        <w:rPr>
          <w:b/>
          <w:sz w:val="28"/>
          <w:szCs w:val="28"/>
        </w:rPr>
        <w:t xml:space="preserve">ed, </w:t>
      </w:r>
      <w:r w:rsidR="00707D00">
        <w:rPr>
          <w:b/>
          <w:sz w:val="28"/>
          <w:szCs w:val="28"/>
        </w:rPr>
        <w:t>as were patients who did not complete their diagnostic work-up and patients with a high pre-test probability for PE (</w:t>
      </w:r>
      <w:hyperlink r:id="rId9" w:history="1">
        <w:r w:rsidR="00707D00" w:rsidRPr="00707D00">
          <w:rPr>
            <w:rStyle w:val="Hyperlink"/>
            <w:b/>
            <w:sz w:val="28"/>
            <w:szCs w:val="28"/>
          </w:rPr>
          <w:t>Wells' score</w:t>
        </w:r>
      </w:hyperlink>
      <w:r w:rsidR="00707D00">
        <w:rPr>
          <w:b/>
          <w:sz w:val="28"/>
          <w:szCs w:val="28"/>
        </w:rPr>
        <w:t xml:space="preserve"> &gt; 6).</w:t>
      </w:r>
      <w:r w:rsidR="003F021E">
        <w:rPr>
          <w:b/>
          <w:sz w:val="28"/>
          <w:szCs w:val="28"/>
        </w:rPr>
        <w:t xml:space="preserve"> Other exclusion criteria were unwillingness or inability to participate, pregnancy, previous enrollment in the study, or anticoagulant use for &gt; 24 hours prior to blood sample collection.</w:t>
      </w:r>
    </w:p>
    <w:p w14:paraId="371AA8EA" w14:textId="01D2D10F" w:rsidR="0064699B" w:rsidRDefault="0064699B" w:rsidP="00B363B9">
      <w:pPr>
        <w:spacing w:before="240" w:after="240"/>
        <w:jc w:val="both"/>
        <w:rPr>
          <w:b/>
          <w:sz w:val="28"/>
          <w:szCs w:val="28"/>
        </w:rPr>
      </w:pPr>
      <w:r>
        <w:rPr>
          <w:b/>
          <w:sz w:val="28"/>
          <w:szCs w:val="28"/>
        </w:rPr>
        <w:t>The treating clinician answered the questions in the Wells' score</w:t>
      </w:r>
      <w:r w:rsidR="008063DF">
        <w:rPr>
          <w:b/>
          <w:sz w:val="28"/>
          <w:szCs w:val="28"/>
        </w:rPr>
        <w:t>/YEARS criteria</w:t>
      </w:r>
      <w:r>
        <w:rPr>
          <w:b/>
          <w:sz w:val="28"/>
          <w:szCs w:val="28"/>
        </w:rPr>
        <w:t xml:space="preserve"> prior to D-dimer or imaging results.</w:t>
      </w:r>
      <w:r w:rsidR="004E7ABE">
        <w:rPr>
          <w:b/>
          <w:sz w:val="28"/>
          <w:szCs w:val="28"/>
        </w:rPr>
        <w:t xml:space="preserve"> All patients underwent d-dimer testing, with a threshold of 1000 mg/dL for patients with no YEARS criteria and 500 mg/dL for patients with any positive YEARS criteria. Patients with a positive D-dimer underwent advanced imaging and were considered </w:t>
      </w:r>
      <w:r w:rsidR="00617180">
        <w:rPr>
          <w:b/>
          <w:sz w:val="28"/>
          <w:szCs w:val="28"/>
        </w:rPr>
        <w:t>to have a</w:t>
      </w:r>
      <w:r w:rsidR="004E7ABE">
        <w:rPr>
          <w:b/>
          <w:sz w:val="28"/>
          <w:szCs w:val="28"/>
        </w:rPr>
        <w:t xml:space="preserve"> PE if a CTPA showed a filling defect in a pulmonary artery or a V/Q scan was read as high probability.</w:t>
      </w:r>
      <w:r w:rsidR="00D025B5">
        <w:rPr>
          <w:b/>
          <w:sz w:val="28"/>
          <w:szCs w:val="28"/>
        </w:rPr>
        <w:t xml:space="preserve"> Patients with a negative work-up (negative D-dimer or advanced imaging) received a telephone follow-up and review of medical records at 3 months.</w:t>
      </w:r>
      <w:r w:rsidR="00563D7B">
        <w:rPr>
          <w:b/>
          <w:sz w:val="28"/>
          <w:szCs w:val="28"/>
        </w:rPr>
        <w:t xml:space="preserve"> For cases in which diagnostic testing was equivocal, the diagnosis was adjudicated by a panel of 3 investigat</w:t>
      </w:r>
      <w:r w:rsidR="00874676">
        <w:rPr>
          <w:b/>
          <w:sz w:val="28"/>
          <w:szCs w:val="28"/>
        </w:rPr>
        <w:t>ors blinded to D-dimer results.</w:t>
      </w:r>
    </w:p>
    <w:p w14:paraId="748A89BB" w14:textId="0F12361F" w:rsidR="00874676" w:rsidRPr="00925870" w:rsidRDefault="00874676" w:rsidP="00B363B9">
      <w:pPr>
        <w:spacing w:before="240" w:after="240"/>
        <w:jc w:val="both"/>
        <w:rPr>
          <w:b/>
          <w:sz w:val="28"/>
          <w:szCs w:val="28"/>
        </w:rPr>
      </w:pPr>
      <w:r>
        <w:rPr>
          <w:b/>
          <w:sz w:val="28"/>
          <w:szCs w:val="28"/>
        </w:rPr>
        <w:t>A total of 1789 patients were enrolled.</w:t>
      </w:r>
      <w:r w:rsidR="004E1E49">
        <w:rPr>
          <w:b/>
          <w:sz w:val="28"/>
          <w:szCs w:val="28"/>
        </w:rPr>
        <w:t xml:space="preserve"> The mean age was 48 years and 63% were female.</w:t>
      </w:r>
      <w:r>
        <w:rPr>
          <w:b/>
          <w:sz w:val="28"/>
          <w:szCs w:val="28"/>
        </w:rPr>
        <w:t xml:space="preserve"> </w:t>
      </w:r>
      <w:r w:rsidR="004E1E49">
        <w:rPr>
          <w:b/>
          <w:sz w:val="28"/>
          <w:szCs w:val="28"/>
        </w:rPr>
        <w:t>There were</w:t>
      </w:r>
      <w:r>
        <w:rPr>
          <w:b/>
          <w:sz w:val="28"/>
          <w:szCs w:val="28"/>
        </w:rPr>
        <w:t xml:space="preserve"> 1712 patients </w:t>
      </w:r>
      <w:r w:rsidR="004E1E49">
        <w:rPr>
          <w:b/>
          <w:sz w:val="28"/>
          <w:szCs w:val="28"/>
        </w:rPr>
        <w:t>with</w:t>
      </w:r>
      <w:r>
        <w:rPr>
          <w:b/>
          <w:sz w:val="28"/>
          <w:szCs w:val="28"/>
        </w:rPr>
        <w:t xml:space="preserve"> a negative index visit for PE and 381 (22%) were lost to follow-up</w:t>
      </w:r>
      <w:r w:rsidR="00547753">
        <w:rPr>
          <w:b/>
          <w:sz w:val="28"/>
          <w:szCs w:val="28"/>
        </w:rPr>
        <w:t>. There were 77 patients diagnosed with a PE on the index visit, representing 4% of the population.</w:t>
      </w:r>
    </w:p>
    <w:p w14:paraId="5D4DA688" w14:textId="77777777" w:rsidR="00E6037B" w:rsidRDefault="00E6037B" w:rsidP="00E002FC">
      <w:pPr>
        <w:jc w:val="center"/>
        <w:rPr>
          <w:b/>
          <w:sz w:val="28"/>
          <w:szCs w:val="28"/>
        </w:rPr>
      </w:pPr>
    </w:p>
    <w:p w14:paraId="591BD1C2" w14:textId="77777777" w:rsidR="00E6037B" w:rsidRDefault="00E6037B" w:rsidP="00E002FC">
      <w:pPr>
        <w:jc w:val="center"/>
        <w:rPr>
          <w:b/>
          <w:sz w:val="28"/>
          <w:szCs w:val="28"/>
        </w:rPr>
      </w:pPr>
    </w:p>
    <w:p w14:paraId="233A762F" w14:textId="77777777" w:rsidR="00E6037B" w:rsidRDefault="00E6037B" w:rsidP="00E002FC">
      <w:pPr>
        <w:jc w:val="center"/>
        <w:rPr>
          <w:b/>
          <w:sz w:val="28"/>
          <w:szCs w:val="28"/>
        </w:rPr>
      </w:pPr>
    </w:p>
    <w:p w14:paraId="60FC62AD" w14:textId="1B4AE4DB" w:rsidR="00E6037B" w:rsidRDefault="00E6037B" w:rsidP="00E002FC">
      <w:pPr>
        <w:jc w:val="center"/>
        <w:rPr>
          <w:noProof/>
        </w:rPr>
      </w:pPr>
      <w:r>
        <w:rPr>
          <w:b/>
          <w:sz w:val="28"/>
          <w:szCs w:val="28"/>
        </w:rPr>
        <w:br w:type="page"/>
      </w:r>
    </w:p>
    <w:tbl>
      <w:tblPr>
        <w:tblStyle w:val="TableGrid"/>
        <w:tblW w:w="0" w:type="auto"/>
        <w:jc w:val="center"/>
        <w:tblLook w:val="01E0" w:firstRow="1" w:lastRow="1" w:firstColumn="1" w:lastColumn="1" w:noHBand="0" w:noVBand="0"/>
      </w:tblPr>
      <w:tblGrid>
        <w:gridCol w:w="1008"/>
        <w:gridCol w:w="3564"/>
        <w:gridCol w:w="5256"/>
      </w:tblGrid>
      <w:tr w:rsidR="00E6037B" w14:paraId="276A56C8" w14:textId="77777777" w:rsidTr="00523930">
        <w:trPr>
          <w:jc w:val="center"/>
        </w:trPr>
        <w:tc>
          <w:tcPr>
            <w:tcW w:w="4572" w:type="dxa"/>
            <w:gridSpan w:val="2"/>
          </w:tcPr>
          <w:p w14:paraId="4D625E23" w14:textId="77777777" w:rsidR="00E6037B" w:rsidRPr="00E002FC" w:rsidRDefault="00E6037B" w:rsidP="002905BB">
            <w:pPr>
              <w:jc w:val="center"/>
              <w:rPr>
                <w:b/>
              </w:rPr>
            </w:pPr>
            <w:r w:rsidRPr="00E002FC">
              <w:rPr>
                <w:b/>
              </w:rPr>
              <w:lastRenderedPageBreak/>
              <w:t>Guide</w:t>
            </w:r>
          </w:p>
        </w:tc>
        <w:tc>
          <w:tcPr>
            <w:tcW w:w="5256" w:type="dxa"/>
          </w:tcPr>
          <w:p w14:paraId="51C25601" w14:textId="77777777" w:rsidR="00E6037B" w:rsidRPr="00E002FC" w:rsidRDefault="00E6037B" w:rsidP="002905BB">
            <w:pPr>
              <w:jc w:val="center"/>
              <w:rPr>
                <w:b/>
              </w:rPr>
            </w:pPr>
            <w:r w:rsidRPr="00E002FC">
              <w:rPr>
                <w:b/>
              </w:rPr>
              <w:t>Comments</w:t>
            </w:r>
          </w:p>
        </w:tc>
      </w:tr>
      <w:tr w:rsidR="00E6037B" w14:paraId="4BABF42E" w14:textId="77777777" w:rsidTr="00523930">
        <w:trPr>
          <w:jc w:val="center"/>
        </w:trPr>
        <w:tc>
          <w:tcPr>
            <w:tcW w:w="1008" w:type="dxa"/>
          </w:tcPr>
          <w:p w14:paraId="358FF825" w14:textId="77777777" w:rsidR="00E6037B" w:rsidRPr="00FC473C" w:rsidRDefault="00E6037B" w:rsidP="002905BB">
            <w:pPr>
              <w:rPr>
                <w:b/>
              </w:rPr>
            </w:pPr>
            <w:r w:rsidRPr="00FC473C">
              <w:rPr>
                <w:b/>
              </w:rPr>
              <w:t>I.</w:t>
            </w:r>
          </w:p>
        </w:tc>
        <w:tc>
          <w:tcPr>
            <w:tcW w:w="3564" w:type="dxa"/>
          </w:tcPr>
          <w:p w14:paraId="6F2F73D6" w14:textId="77777777" w:rsidR="00E6037B" w:rsidRPr="00FC473C" w:rsidRDefault="00E6037B" w:rsidP="002905BB">
            <w:pPr>
              <w:rPr>
                <w:b/>
              </w:rPr>
            </w:pPr>
            <w:r w:rsidRPr="00FC473C">
              <w:rPr>
                <w:b/>
                <w:i/>
              </w:rPr>
              <w:t>Is this a newly derived instrument</w:t>
            </w:r>
            <w:r w:rsidRPr="00FC473C">
              <w:rPr>
                <w:b/>
              </w:rPr>
              <w:t xml:space="preserve"> (Level IV)?</w:t>
            </w:r>
          </w:p>
        </w:tc>
        <w:tc>
          <w:tcPr>
            <w:tcW w:w="5256" w:type="dxa"/>
          </w:tcPr>
          <w:p w14:paraId="0A7BD520" w14:textId="77777777" w:rsidR="00E6037B" w:rsidRDefault="00E6037B" w:rsidP="002905BB"/>
        </w:tc>
      </w:tr>
      <w:tr w:rsidR="00E6037B" w14:paraId="7F7230D0" w14:textId="77777777" w:rsidTr="00523930">
        <w:trPr>
          <w:jc w:val="center"/>
        </w:trPr>
        <w:tc>
          <w:tcPr>
            <w:tcW w:w="1008" w:type="dxa"/>
          </w:tcPr>
          <w:p w14:paraId="1EC37476" w14:textId="77777777" w:rsidR="00E6037B" w:rsidRDefault="00E6037B" w:rsidP="002905BB">
            <w:r>
              <w:t>A.</w:t>
            </w:r>
          </w:p>
        </w:tc>
        <w:tc>
          <w:tcPr>
            <w:tcW w:w="3564" w:type="dxa"/>
          </w:tcPr>
          <w:p w14:paraId="4B578DFC" w14:textId="77777777" w:rsidR="00E6037B" w:rsidRDefault="00E6037B" w:rsidP="002905BB">
            <w:r>
              <w:t>Was validation restricted to the retrospective use of statistical techniques on the original database?  (If so, this is a Level IV rule &amp; is not ready for clinical application).</w:t>
            </w:r>
          </w:p>
        </w:tc>
        <w:tc>
          <w:tcPr>
            <w:tcW w:w="5256" w:type="dxa"/>
          </w:tcPr>
          <w:p w14:paraId="78EEE272" w14:textId="2378BEDC" w:rsidR="00E6037B" w:rsidRDefault="00D6647F" w:rsidP="002905BB">
            <w:r>
              <w:t>N/A</w:t>
            </w:r>
          </w:p>
        </w:tc>
      </w:tr>
      <w:tr w:rsidR="00E6037B" w14:paraId="0C15F0B1" w14:textId="77777777" w:rsidTr="00523930">
        <w:trPr>
          <w:jc w:val="center"/>
        </w:trPr>
        <w:tc>
          <w:tcPr>
            <w:tcW w:w="1008" w:type="dxa"/>
          </w:tcPr>
          <w:p w14:paraId="5AC79013" w14:textId="77777777" w:rsidR="00E6037B" w:rsidRPr="00FC473C" w:rsidRDefault="00E6037B" w:rsidP="002905BB">
            <w:pPr>
              <w:rPr>
                <w:b/>
              </w:rPr>
            </w:pPr>
            <w:r w:rsidRPr="00FC473C">
              <w:rPr>
                <w:b/>
              </w:rPr>
              <w:t>II</w:t>
            </w:r>
            <w:r>
              <w:rPr>
                <w:b/>
              </w:rPr>
              <w:t>.</w:t>
            </w:r>
          </w:p>
        </w:tc>
        <w:tc>
          <w:tcPr>
            <w:tcW w:w="3564" w:type="dxa"/>
          </w:tcPr>
          <w:p w14:paraId="34EF1420" w14:textId="77777777" w:rsidR="00E6037B" w:rsidRPr="00FC473C" w:rsidRDefault="00E6037B" w:rsidP="002905BB">
            <w:pPr>
              <w:rPr>
                <w:b/>
              </w:rPr>
            </w:pPr>
            <w:r w:rsidRPr="00FC473C">
              <w:rPr>
                <w:b/>
              </w:rPr>
              <w:t>Has the instrument been validated? (Level II or III).  If so, consider the following:</w:t>
            </w:r>
          </w:p>
        </w:tc>
        <w:tc>
          <w:tcPr>
            <w:tcW w:w="5256" w:type="dxa"/>
          </w:tcPr>
          <w:p w14:paraId="52E3E6B1" w14:textId="77777777" w:rsidR="00E6037B" w:rsidRDefault="00E6037B" w:rsidP="002905BB"/>
        </w:tc>
      </w:tr>
      <w:tr w:rsidR="00E6037B" w14:paraId="68E8D0A2" w14:textId="77777777" w:rsidTr="00523930">
        <w:trPr>
          <w:jc w:val="center"/>
        </w:trPr>
        <w:tc>
          <w:tcPr>
            <w:tcW w:w="1008" w:type="dxa"/>
          </w:tcPr>
          <w:p w14:paraId="40BF685A" w14:textId="77777777" w:rsidR="00E6037B" w:rsidRDefault="00E6037B" w:rsidP="002905BB">
            <w:r>
              <w:t>1a</w:t>
            </w:r>
          </w:p>
        </w:tc>
        <w:tc>
          <w:tcPr>
            <w:tcW w:w="3564" w:type="dxa"/>
          </w:tcPr>
          <w:p w14:paraId="0A132B6D" w14:textId="77777777" w:rsidR="00E6037B" w:rsidRDefault="00E6037B" w:rsidP="002905BB">
            <w:r>
              <w:t>Were all important predictors included in the derivation process?</w:t>
            </w:r>
          </w:p>
        </w:tc>
        <w:tc>
          <w:tcPr>
            <w:tcW w:w="5256" w:type="dxa"/>
          </w:tcPr>
          <w:p w14:paraId="1C75A933" w14:textId="6A3EB178" w:rsidR="00E6037B" w:rsidRDefault="00D6647F" w:rsidP="002905BB">
            <w:r>
              <w:t>N/A</w:t>
            </w:r>
          </w:p>
        </w:tc>
      </w:tr>
      <w:tr w:rsidR="00E6037B" w14:paraId="6B9E6E57" w14:textId="77777777" w:rsidTr="00523930">
        <w:trPr>
          <w:jc w:val="center"/>
        </w:trPr>
        <w:tc>
          <w:tcPr>
            <w:tcW w:w="1008" w:type="dxa"/>
          </w:tcPr>
          <w:p w14:paraId="4698BF27" w14:textId="77777777" w:rsidR="00E6037B" w:rsidRDefault="00E6037B" w:rsidP="002905BB">
            <w:r>
              <w:t>1b</w:t>
            </w:r>
          </w:p>
        </w:tc>
        <w:tc>
          <w:tcPr>
            <w:tcW w:w="3564" w:type="dxa"/>
          </w:tcPr>
          <w:p w14:paraId="6CEA0F03" w14:textId="77777777" w:rsidR="00E6037B" w:rsidRDefault="00E6037B" w:rsidP="002905BB">
            <w:r>
              <w:t>Were all important predictors present in significant proportion of the study population?</w:t>
            </w:r>
          </w:p>
        </w:tc>
        <w:tc>
          <w:tcPr>
            <w:tcW w:w="5256" w:type="dxa"/>
          </w:tcPr>
          <w:p w14:paraId="6A4EC9BE" w14:textId="022B479A" w:rsidR="00E6037B" w:rsidRDefault="00D6647F" w:rsidP="002905BB">
            <w:r>
              <w:t>N/A</w:t>
            </w:r>
          </w:p>
        </w:tc>
      </w:tr>
      <w:tr w:rsidR="00E6037B" w14:paraId="751D2B9A" w14:textId="77777777" w:rsidTr="00523930">
        <w:trPr>
          <w:jc w:val="center"/>
        </w:trPr>
        <w:tc>
          <w:tcPr>
            <w:tcW w:w="1008" w:type="dxa"/>
          </w:tcPr>
          <w:p w14:paraId="37FBE429" w14:textId="77777777" w:rsidR="00E6037B" w:rsidRDefault="00E6037B" w:rsidP="002905BB">
            <w:r>
              <w:t>1c</w:t>
            </w:r>
          </w:p>
        </w:tc>
        <w:tc>
          <w:tcPr>
            <w:tcW w:w="3564" w:type="dxa"/>
          </w:tcPr>
          <w:p w14:paraId="556CC9BE" w14:textId="77777777" w:rsidR="00E6037B" w:rsidRDefault="00E6037B" w:rsidP="002905BB">
            <w:r>
              <w:t>Does the rule make clinical sense?</w:t>
            </w:r>
          </w:p>
        </w:tc>
        <w:tc>
          <w:tcPr>
            <w:tcW w:w="5256" w:type="dxa"/>
          </w:tcPr>
          <w:p w14:paraId="4984577D" w14:textId="683A75DF" w:rsidR="00E6037B" w:rsidRDefault="00D6647F" w:rsidP="00C0717B">
            <w:r>
              <w:t xml:space="preserve">Yes. </w:t>
            </w:r>
            <w:r w:rsidR="0041380B">
              <w:t xml:space="preserve">The YEARS </w:t>
            </w:r>
            <w:r w:rsidR="00C0717B">
              <w:t>algorithm</w:t>
            </w:r>
            <w:r w:rsidR="0041380B">
              <w:t xml:space="preserve"> is a simplified clinical decision tool that uses 3 of the questions from the Wells' PE criteria. Using a </w:t>
            </w:r>
            <w:hyperlink r:id="rId10" w:history="1">
              <w:r w:rsidR="0041380B" w:rsidRPr="0041380B">
                <w:rPr>
                  <w:rStyle w:val="Hyperlink"/>
                </w:rPr>
                <w:t>Bayesian statistical</w:t>
              </w:r>
            </w:hyperlink>
            <w:r w:rsidR="0041380B">
              <w:t xml:space="preserve"> approach, patients with no YEARS criteria present who hence have a low pre-test probability for PE were considered ruled out with a higher D-dimer threshold (1000 mg/dL), while patients with a</w:t>
            </w:r>
            <w:r w:rsidR="004B6262">
              <w:t>n</w:t>
            </w:r>
            <w:r w:rsidR="0041380B">
              <w:t>y YEARS criteria were felt to be higher risk and hence were ruled out with a lower D-dimer threshold (500 mg/dL).</w:t>
            </w:r>
          </w:p>
        </w:tc>
      </w:tr>
      <w:tr w:rsidR="00E6037B" w14:paraId="08A129F2" w14:textId="77777777" w:rsidTr="00523930">
        <w:trPr>
          <w:jc w:val="center"/>
        </w:trPr>
        <w:tc>
          <w:tcPr>
            <w:tcW w:w="1008" w:type="dxa"/>
          </w:tcPr>
          <w:p w14:paraId="7B1EA0F0" w14:textId="77777777" w:rsidR="00E6037B" w:rsidRDefault="00E6037B" w:rsidP="002905BB">
            <w:r>
              <w:t>2</w:t>
            </w:r>
          </w:p>
        </w:tc>
        <w:tc>
          <w:tcPr>
            <w:tcW w:w="3564" w:type="dxa"/>
          </w:tcPr>
          <w:p w14:paraId="611109E7" w14:textId="77777777" w:rsidR="00E6037B" w:rsidRDefault="00E6037B" w:rsidP="002905BB">
            <w:r>
              <w:t>Did validation include prospective studies on several different populations from that used to derive it (II) or was it restricted to a single population (III)?</w:t>
            </w:r>
          </w:p>
        </w:tc>
        <w:tc>
          <w:tcPr>
            <w:tcW w:w="5256" w:type="dxa"/>
          </w:tcPr>
          <w:p w14:paraId="65B5C05A" w14:textId="035DE93D" w:rsidR="00E6037B" w:rsidRDefault="00D6647F" w:rsidP="002905BB">
            <w:r>
              <w:t>Yes. This was a prospective validation studies conducted at 15 EDs in the United States.</w:t>
            </w:r>
            <w:r w:rsidR="00E73221">
              <w:t xml:space="preserve"> The authors do not provide additional information on the study sites (size, location, academic affiliation). Enrollment at the sites varied from &lt;2% to around 13% of total study subjects.</w:t>
            </w:r>
            <w:r w:rsidR="0041380B">
              <w:t xml:space="preserve"> Additional validation studies have been published as well.</w:t>
            </w:r>
          </w:p>
        </w:tc>
      </w:tr>
      <w:tr w:rsidR="00E6037B" w14:paraId="1E42B81E" w14:textId="77777777" w:rsidTr="00523930">
        <w:trPr>
          <w:jc w:val="center"/>
        </w:trPr>
        <w:tc>
          <w:tcPr>
            <w:tcW w:w="1008" w:type="dxa"/>
          </w:tcPr>
          <w:p w14:paraId="29D2D5F3" w14:textId="77777777" w:rsidR="00E6037B" w:rsidRDefault="00E6037B" w:rsidP="002905BB">
            <w:r>
              <w:t>3</w:t>
            </w:r>
          </w:p>
        </w:tc>
        <w:tc>
          <w:tcPr>
            <w:tcW w:w="3564" w:type="dxa"/>
          </w:tcPr>
          <w:p w14:paraId="18668520" w14:textId="77777777" w:rsidR="00E6037B" w:rsidRPr="000E6115" w:rsidRDefault="00E6037B" w:rsidP="002905BB">
            <w:pPr>
              <w:jc w:val="center"/>
              <w:rPr>
                <w:i/>
              </w:rPr>
            </w:pPr>
            <w:r w:rsidRPr="000E6115">
              <w:rPr>
                <w:i/>
              </w:rPr>
              <w:t>How well did the validation study meet the following criteria?</w:t>
            </w:r>
          </w:p>
        </w:tc>
        <w:tc>
          <w:tcPr>
            <w:tcW w:w="5256" w:type="dxa"/>
          </w:tcPr>
          <w:p w14:paraId="300DD8CB" w14:textId="77777777" w:rsidR="00E6037B" w:rsidRDefault="00E6037B" w:rsidP="002905BB"/>
        </w:tc>
      </w:tr>
      <w:tr w:rsidR="00E6037B" w14:paraId="58FB11AF" w14:textId="77777777" w:rsidTr="00523930">
        <w:trPr>
          <w:jc w:val="center"/>
        </w:trPr>
        <w:tc>
          <w:tcPr>
            <w:tcW w:w="1008" w:type="dxa"/>
          </w:tcPr>
          <w:p w14:paraId="009E1E9C" w14:textId="77777777" w:rsidR="00E6037B" w:rsidRDefault="00E6037B" w:rsidP="002905BB">
            <w:r>
              <w:t>3a</w:t>
            </w:r>
          </w:p>
        </w:tc>
        <w:tc>
          <w:tcPr>
            <w:tcW w:w="3564" w:type="dxa"/>
          </w:tcPr>
          <w:p w14:paraId="4D08F3A1" w14:textId="77777777" w:rsidR="00E6037B" w:rsidRDefault="00E6037B" w:rsidP="002905BB">
            <w:r>
              <w:t>Did the patients represent a wide spectrum of severity of disease?</w:t>
            </w:r>
          </w:p>
        </w:tc>
        <w:tc>
          <w:tcPr>
            <w:tcW w:w="5256" w:type="dxa"/>
          </w:tcPr>
          <w:p w14:paraId="6B7740BA" w14:textId="365F32C9" w:rsidR="00E6037B" w:rsidRDefault="00C0717B" w:rsidP="002905BB">
            <w:r>
              <w:t>No. The authors excluded high-risk patients whose Wells' scores were &gt; 6, resulting in an overall low risk patient population (</w:t>
            </w:r>
            <w:hyperlink r:id="rId11" w:history="1">
              <w:r w:rsidRPr="00C0717B">
                <w:rPr>
                  <w:rStyle w:val="Hyperlink"/>
                </w:rPr>
                <w:t>spectrum bias</w:t>
              </w:r>
            </w:hyperlink>
            <w:r>
              <w:t>).</w:t>
            </w:r>
          </w:p>
        </w:tc>
      </w:tr>
      <w:tr w:rsidR="00E6037B" w14:paraId="6010102D" w14:textId="77777777" w:rsidTr="00523930">
        <w:trPr>
          <w:jc w:val="center"/>
        </w:trPr>
        <w:tc>
          <w:tcPr>
            <w:tcW w:w="1008" w:type="dxa"/>
          </w:tcPr>
          <w:p w14:paraId="32E258FE" w14:textId="77777777" w:rsidR="00E6037B" w:rsidRDefault="00E6037B" w:rsidP="002905BB">
            <w:r>
              <w:t xml:space="preserve">3b </w:t>
            </w:r>
          </w:p>
        </w:tc>
        <w:tc>
          <w:tcPr>
            <w:tcW w:w="3564" w:type="dxa"/>
          </w:tcPr>
          <w:p w14:paraId="307CC9C3" w14:textId="77777777" w:rsidR="00E6037B" w:rsidRDefault="00E6037B" w:rsidP="002905BB">
            <w:r>
              <w:t>Was there a blinded assessment of the gold standard?</w:t>
            </w:r>
          </w:p>
        </w:tc>
        <w:tc>
          <w:tcPr>
            <w:tcW w:w="5256" w:type="dxa"/>
          </w:tcPr>
          <w:p w14:paraId="39E4C4F2" w14:textId="23F6AB17" w:rsidR="00666054" w:rsidRPr="00666054" w:rsidRDefault="00D36C30" w:rsidP="00666054">
            <w:r w:rsidRPr="00666054">
              <w:t xml:space="preserve">No. The authors make no mention of blinding of radiologists reading CTPA and V/Q studies to </w:t>
            </w:r>
            <w:r w:rsidR="001D18BE">
              <w:t>Wells' criteria</w:t>
            </w:r>
            <w:r w:rsidRPr="00666054">
              <w:t xml:space="preserve"> or D-dimer results</w:t>
            </w:r>
            <w:r w:rsidR="001D18BE">
              <w:t>, nor do they mention blinding of follow-up outcome assessors</w:t>
            </w:r>
            <w:r w:rsidRPr="00666054">
              <w:t>.</w:t>
            </w:r>
            <w:r w:rsidR="00666054" w:rsidRPr="00666054">
              <w:t xml:space="preserve"> "</w:t>
            </w:r>
            <w:r w:rsidR="00666054" w:rsidRPr="00666054">
              <w:rPr>
                <w:color w:val="000000"/>
              </w:rPr>
              <w:t>For rare cases where the results of diagnostic testing for PE were equivocal or unclear, the diagnosis or exclusion of PE was adjudicated by a panel of three study investigators, blinded to D- dimer result." (p. 989)</w:t>
            </w:r>
          </w:p>
          <w:p w14:paraId="3E550E3D" w14:textId="6E2F784F" w:rsidR="00666054" w:rsidRDefault="00666054" w:rsidP="002905BB"/>
        </w:tc>
      </w:tr>
      <w:tr w:rsidR="00E6037B" w14:paraId="3375BAE1" w14:textId="77777777" w:rsidTr="00523930">
        <w:trPr>
          <w:jc w:val="center"/>
        </w:trPr>
        <w:tc>
          <w:tcPr>
            <w:tcW w:w="1008" w:type="dxa"/>
          </w:tcPr>
          <w:p w14:paraId="63497C44" w14:textId="77777777" w:rsidR="00E6037B" w:rsidRDefault="00E6037B" w:rsidP="002905BB">
            <w:r>
              <w:lastRenderedPageBreak/>
              <w:t>3c</w:t>
            </w:r>
          </w:p>
        </w:tc>
        <w:tc>
          <w:tcPr>
            <w:tcW w:w="3564" w:type="dxa"/>
          </w:tcPr>
          <w:p w14:paraId="15312874" w14:textId="77777777" w:rsidR="00E6037B" w:rsidRDefault="00E6037B" w:rsidP="002905BB">
            <w:r>
              <w:t>Was there an explicit and accurate interpretation of the predictor variables &amp; the actual rule without knowledge of the outcome?</w:t>
            </w:r>
          </w:p>
        </w:tc>
        <w:tc>
          <w:tcPr>
            <w:tcW w:w="5256" w:type="dxa"/>
          </w:tcPr>
          <w:p w14:paraId="19E9A543" w14:textId="59680ED0" w:rsidR="00E6037B" w:rsidRPr="009D1BDF" w:rsidRDefault="009D1BDF" w:rsidP="009D1BDF">
            <w:pPr>
              <w:rPr>
                <w:color w:val="000000"/>
              </w:rPr>
            </w:pPr>
            <w:r w:rsidRPr="009D1BDF">
              <w:t xml:space="preserve">Yes. "The treating clinician provided the answers to the questions required to complete the Wells PE score prior to D-dimer, or imaging tests being performed. The YEARS criteria were calculated based on the responses to the Wells PE score questions: “Does the patient have clinical signs or symptoms of DVT (yes/no)?” “Does the patient have hemoptysis (yes/no)?” “Are alternative diagnoses less likely than PE (yes/no)? </w:t>
            </w:r>
            <w:r w:rsidRPr="009D1BDF">
              <w:rPr>
                <w:color w:val="000000"/>
              </w:rPr>
              <w:t>Patients with a “yes” answer to any o</w:t>
            </w:r>
            <w:r>
              <w:rPr>
                <w:color w:val="000000"/>
              </w:rPr>
              <w:t>f the above questions were con</w:t>
            </w:r>
            <w:r w:rsidRPr="009D1BDF">
              <w:rPr>
                <w:color w:val="000000"/>
              </w:rPr>
              <w:t>sidered positive by YEARS criteria.</w:t>
            </w:r>
            <w:r w:rsidRPr="009D1BDF">
              <w:t>” (p. 989)</w:t>
            </w:r>
          </w:p>
        </w:tc>
      </w:tr>
      <w:tr w:rsidR="00E6037B" w14:paraId="028590D0" w14:textId="77777777" w:rsidTr="00523930">
        <w:trPr>
          <w:jc w:val="center"/>
        </w:trPr>
        <w:tc>
          <w:tcPr>
            <w:tcW w:w="1008" w:type="dxa"/>
          </w:tcPr>
          <w:p w14:paraId="468F24C7" w14:textId="77777777" w:rsidR="00E6037B" w:rsidRDefault="00E6037B" w:rsidP="002905BB">
            <w:r>
              <w:t>3d</w:t>
            </w:r>
          </w:p>
        </w:tc>
        <w:tc>
          <w:tcPr>
            <w:tcW w:w="3564" w:type="dxa"/>
          </w:tcPr>
          <w:p w14:paraId="7C82B45D" w14:textId="77777777" w:rsidR="00E6037B" w:rsidRDefault="00E6037B" w:rsidP="002905BB">
            <w:r>
              <w:t>Did the results of the assessment of the variables or of the rule influence the decision to perform the gold standard?</w:t>
            </w:r>
          </w:p>
        </w:tc>
        <w:tc>
          <w:tcPr>
            <w:tcW w:w="5256" w:type="dxa"/>
          </w:tcPr>
          <w:p w14:paraId="3D4E5E54" w14:textId="0FF8964F" w:rsidR="00E6037B" w:rsidRDefault="000A47C0" w:rsidP="000A47C0">
            <w:r>
              <w:t>Yes. The gold standard (CTPA or V/Q) were only performed when it was felt to be indicated by the clinician. This was based primarily on the Wells' score and D-dimer results using the traditional threshold (500 mg/dL), although the authors do not specify how many patients with a D-dimer &lt; 500 mg/dL underwent imaging.</w:t>
            </w:r>
            <w:r w:rsidR="00450BE2">
              <w:t xml:space="preserve"> Forty-six percent of enrolled patients did not undergo imaging (</w:t>
            </w:r>
            <w:hyperlink r:id="rId12" w:history="1">
              <w:r w:rsidR="00450BE2" w:rsidRPr="00450BE2">
                <w:rPr>
                  <w:rStyle w:val="Hyperlink"/>
                </w:rPr>
                <w:t>partial verification bias</w:t>
              </w:r>
            </w:hyperlink>
            <w:r w:rsidR="00450BE2">
              <w:t>).</w:t>
            </w:r>
          </w:p>
        </w:tc>
      </w:tr>
      <w:tr w:rsidR="00E6037B" w14:paraId="08B6E2FC" w14:textId="77777777" w:rsidTr="00523930">
        <w:trPr>
          <w:jc w:val="center"/>
        </w:trPr>
        <w:tc>
          <w:tcPr>
            <w:tcW w:w="1008" w:type="dxa"/>
          </w:tcPr>
          <w:p w14:paraId="59113C4D" w14:textId="77777777" w:rsidR="00E6037B" w:rsidRDefault="00E6037B" w:rsidP="002905BB">
            <w:r>
              <w:t>4</w:t>
            </w:r>
          </w:p>
        </w:tc>
        <w:tc>
          <w:tcPr>
            <w:tcW w:w="3564" w:type="dxa"/>
          </w:tcPr>
          <w:p w14:paraId="05432D6C" w14:textId="77777777" w:rsidR="00E6037B" w:rsidRDefault="00E6037B" w:rsidP="002905BB">
            <w:r>
              <w:t>How powerful is the rule (in terms of sensitivity &amp; specificity; likelihood ratios; proportions with alternative outcomes; or relative risks or absolute outcome rates)?</w:t>
            </w:r>
          </w:p>
        </w:tc>
        <w:tc>
          <w:tcPr>
            <w:tcW w:w="5256" w:type="dxa"/>
          </w:tcPr>
          <w:p w14:paraId="17EDCB3B" w14:textId="3307F0B5" w:rsidR="00E6037B" w:rsidRDefault="00523930" w:rsidP="00A04396">
            <w:pPr>
              <w:pStyle w:val="ListParagraph"/>
              <w:numPr>
                <w:ilvl w:val="0"/>
                <w:numId w:val="1"/>
              </w:numPr>
            </w:pPr>
            <w:r>
              <w:t xml:space="preserve">940 (53%) </w:t>
            </w:r>
            <w:r w:rsidR="00A04396">
              <w:t>patients were low to intermediate risk based on a Wells' PE score ≤ 6) and had a negative D-dimer; of these, two (0.2%) were diagnosed with a PE.</w:t>
            </w:r>
          </w:p>
          <w:p w14:paraId="027C7F7D" w14:textId="40C9481C" w:rsidR="001C046E" w:rsidRDefault="001C046E" w:rsidP="001C046E">
            <w:pPr>
              <w:pStyle w:val="ListParagraph"/>
              <w:numPr>
                <w:ilvl w:val="1"/>
                <w:numId w:val="1"/>
              </w:numPr>
            </w:pPr>
            <w:r>
              <w:t>Sensitivity 97.6%, 95% CI 91.7-99.7%</w:t>
            </w:r>
          </w:p>
          <w:p w14:paraId="04E03943" w14:textId="77777777" w:rsidR="001C046E" w:rsidRDefault="001C046E" w:rsidP="001C046E">
            <w:pPr>
              <w:pStyle w:val="ListParagraph"/>
              <w:numPr>
                <w:ilvl w:val="1"/>
                <w:numId w:val="1"/>
              </w:numPr>
            </w:pPr>
            <w:r>
              <w:t>Specificity 55.0%, 95% CI 52.6-57.4%</w:t>
            </w:r>
          </w:p>
          <w:p w14:paraId="34C18E94" w14:textId="2E75216F" w:rsidR="001C046E" w:rsidRDefault="001C046E" w:rsidP="001C046E">
            <w:pPr>
              <w:pStyle w:val="ListParagraph"/>
              <w:numPr>
                <w:ilvl w:val="1"/>
                <w:numId w:val="1"/>
              </w:numPr>
            </w:pPr>
            <w:r>
              <w:t>Negative LR 0.04, 95% CI 0.01-0.17</w:t>
            </w:r>
          </w:p>
          <w:p w14:paraId="4602008F" w14:textId="77777777" w:rsidR="00523930" w:rsidRPr="007916B9" w:rsidRDefault="00523930" w:rsidP="00A04396">
            <w:pPr>
              <w:pStyle w:val="ListParagraph"/>
              <w:numPr>
                <w:ilvl w:val="0"/>
                <w:numId w:val="1"/>
              </w:numPr>
              <w:rPr>
                <w:color w:val="FF0000"/>
              </w:rPr>
            </w:pPr>
            <w:r w:rsidRPr="007916B9">
              <w:rPr>
                <w:color w:val="FF0000"/>
              </w:rPr>
              <w:t xml:space="preserve">982 (55%) patients had no YEARS criteria and a D-dimer &lt; 1000, and 222 (12%) patients </w:t>
            </w:r>
            <w:r w:rsidR="001C046E" w:rsidRPr="007916B9">
              <w:rPr>
                <w:color w:val="FF0000"/>
              </w:rPr>
              <w:t>had a positive YEARS criteria and a D-dimer &lt; 500; of these, 6 (0.5%) were diagnosed with PE (5 during the index visit and 1 on follow-up).</w:t>
            </w:r>
          </w:p>
          <w:p w14:paraId="0B14E007" w14:textId="780CBC43" w:rsidR="00AD6A99" w:rsidRPr="007916B9" w:rsidRDefault="00AD6A99" w:rsidP="00AD6A99">
            <w:pPr>
              <w:pStyle w:val="ListParagraph"/>
              <w:numPr>
                <w:ilvl w:val="1"/>
                <w:numId w:val="1"/>
              </w:numPr>
              <w:rPr>
                <w:color w:val="FF0000"/>
              </w:rPr>
            </w:pPr>
            <w:r w:rsidRPr="007916B9">
              <w:rPr>
                <w:color w:val="FF0000"/>
              </w:rPr>
              <w:t>Sensitivity 92.9%, 95% CI 85.1-97.3%</w:t>
            </w:r>
          </w:p>
          <w:p w14:paraId="3AE31441" w14:textId="104E3FC0" w:rsidR="00AD6A99" w:rsidRPr="007916B9" w:rsidRDefault="00AD6A99" w:rsidP="00AD6A99">
            <w:pPr>
              <w:pStyle w:val="ListParagraph"/>
              <w:numPr>
                <w:ilvl w:val="1"/>
                <w:numId w:val="1"/>
              </w:numPr>
              <w:rPr>
                <w:color w:val="FF0000"/>
              </w:rPr>
            </w:pPr>
            <w:r w:rsidRPr="007916B9">
              <w:rPr>
                <w:color w:val="FF0000"/>
              </w:rPr>
              <w:t>Specificity 70.3%, 95% CI 68.0-72.4%</w:t>
            </w:r>
          </w:p>
          <w:p w14:paraId="5F58718E" w14:textId="77777777" w:rsidR="00AD6A99" w:rsidRPr="007916B9" w:rsidRDefault="00AD6A99" w:rsidP="00AD6A99">
            <w:pPr>
              <w:pStyle w:val="ListParagraph"/>
              <w:numPr>
                <w:ilvl w:val="1"/>
                <w:numId w:val="1"/>
              </w:numPr>
              <w:rPr>
                <w:color w:val="FF0000"/>
              </w:rPr>
            </w:pPr>
            <w:r w:rsidRPr="007916B9">
              <w:rPr>
                <w:color w:val="FF0000"/>
              </w:rPr>
              <w:t>Negative LR 0.10, 95% CI 0.05-0.22</w:t>
            </w:r>
          </w:p>
          <w:p w14:paraId="6A91B449" w14:textId="77777777" w:rsidR="00C36402" w:rsidRDefault="00C36402" w:rsidP="00C36402">
            <w:pPr>
              <w:pStyle w:val="ListParagraph"/>
              <w:numPr>
                <w:ilvl w:val="0"/>
                <w:numId w:val="1"/>
              </w:numPr>
            </w:pPr>
            <w:r>
              <w:t>Using the single question "Are alternative diagnoses less likely than PE?" and a D-dimer &lt; 1000 mg/dL when affirmative and D</w:t>
            </w:r>
            <w:r w:rsidR="007C1B95">
              <w:t>-dimer &lt; 500 when negative, 1237 (67</w:t>
            </w:r>
            <w:r>
              <w:t xml:space="preserve">%) patients would have had a negative initial evaluation. </w:t>
            </w:r>
            <w:r w:rsidR="007C1B95">
              <w:t>Among these, 6 (0.4%) were diagnosed with a PE (5 during the index visit and 1 on follow-up):</w:t>
            </w:r>
          </w:p>
          <w:p w14:paraId="5329F82A" w14:textId="77777777" w:rsidR="007C1B95" w:rsidRDefault="007C1B95" w:rsidP="007C1B95">
            <w:pPr>
              <w:pStyle w:val="ListParagraph"/>
              <w:numPr>
                <w:ilvl w:val="1"/>
                <w:numId w:val="1"/>
              </w:numPr>
            </w:pPr>
            <w:r>
              <w:t>Sensitivity 92.9%, 95% CI 85.1-97.3%</w:t>
            </w:r>
          </w:p>
          <w:p w14:paraId="0C2240B2" w14:textId="7D26F258" w:rsidR="007C1B95" w:rsidRDefault="007C1B95" w:rsidP="007C1B95">
            <w:pPr>
              <w:pStyle w:val="ListParagraph"/>
              <w:numPr>
                <w:ilvl w:val="1"/>
                <w:numId w:val="1"/>
              </w:numPr>
            </w:pPr>
            <w:r>
              <w:t>Specificity 72.2%, 95% CI 70.0-74.3%</w:t>
            </w:r>
          </w:p>
          <w:p w14:paraId="7D322B5F" w14:textId="35C127A1" w:rsidR="007C1B95" w:rsidRDefault="007C1B95" w:rsidP="007C1B95">
            <w:pPr>
              <w:pStyle w:val="ListParagraph"/>
              <w:numPr>
                <w:ilvl w:val="1"/>
                <w:numId w:val="1"/>
              </w:numPr>
            </w:pPr>
            <w:r>
              <w:t>Negative LR 0.10, 95% CI 0.05-0.21</w:t>
            </w:r>
          </w:p>
        </w:tc>
      </w:tr>
      <w:tr w:rsidR="00E6037B" w14:paraId="4D5BAAB5" w14:textId="77777777" w:rsidTr="00523930">
        <w:trPr>
          <w:jc w:val="center"/>
        </w:trPr>
        <w:tc>
          <w:tcPr>
            <w:tcW w:w="1008" w:type="dxa"/>
          </w:tcPr>
          <w:p w14:paraId="6B2EA09B" w14:textId="72BE4EBA" w:rsidR="00E6037B" w:rsidRPr="00FC473C" w:rsidRDefault="00E6037B" w:rsidP="002905BB">
            <w:pPr>
              <w:rPr>
                <w:b/>
              </w:rPr>
            </w:pPr>
            <w:r w:rsidRPr="00FC473C">
              <w:rPr>
                <w:b/>
              </w:rPr>
              <w:t>III.</w:t>
            </w:r>
          </w:p>
        </w:tc>
        <w:tc>
          <w:tcPr>
            <w:tcW w:w="3564" w:type="dxa"/>
          </w:tcPr>
          <w:p w14:paraId="76D449F3" w14:textId="77777777" w:rsidR="00E6037B" w:rsidRPr="00FC473C" w:rsidRDefault="00E6037B" w:rsidP="002905BB">
            <w:pPr>
              <w:rPr>
                <w:b/>
              </w:rPr>
            </w:pPr>
            <w:r w:rsidRPr="00FC473C">
              <w:rPr>
                <w:b/>
              </w:rPr>
              <w:t xml:space="preserve">Has an impact analysis demonstrated change in clinical behavior or patient outcomes as </w:t>
            </w:r>
            <w:r w:rsidRPr="00FC473C">
              <w:rPr>
                <w:b/>
              </w:rPr>
              <w:lastRenderedPageBreak/>
              <w:t>a result of using the instrument?  (Level I).  If so, consider the following:</w:t>
            </w:r>
          </w:p>
        </w:tc>
        <w:tc>
          <w:tcPr>
            <w:tcW w:w="5256" w:type="dxa"/>
          </w:tcPr>
          <w:p w14:paraId="4925E1FE" w14:textId="77777777" w:rsidR="00E6037B" w:rsidRDefault="00E6037B" w:rsidP="002905BB"/>
        </w:tc>
      </w:tr>
      <w:tr w:rsidR="00E6037B" w14:paraId="10ACCA17" w14:textId="77777777" w:rsidTr="00523930">
        <w:trPr>
          <w:jc w:val="center"/>
        </w:trPr>
        <w:tc>
          <w:tcPr>
            <w:tcW w:w="1008" w:type="dxa"/>
          </w:tcPr>
          <w:p w14:paraId="50B0CF00" w14:textId="77777777" w:rsidR="00E6037B" w:rsidRDefault="00E6037B" w:rsidP="002905BB">
            <w:r>
              <w:lastRenderedPageBreak/>
              <w:t>1</w:t>
            </w:r>
          </w:p>
        </w:tc>
        <w:tc>
          <w:tcPr>
            <w:tcW w:w="3564" w:type="dxa"/>
          </w:tcPr>
          <w:p w14:paraId="2A020666" w14:textId="77777777" w:rsidR="00E6037B" w:rsidRDefault="00E6037B" w:rsidP="002905BB">
            <w:r>
              <w:t>How well did the study guard against bias in terms of differences at the start (concealed randomization, adjustment in analysis) or as the study proceeded (blinding, co-intervention, loss to follow-up)?</w:t>
            </w:r>
          </w:p>
        </w:tc>
        <w:tc>
          <w:tcPr>
            <w:tcW w:w="5256" w:type="dxa"/>
          </w:tcPr>
          <w:p w14:paraId="2ABC30E7" w14:textId="3A1863BD" w:rsidR="00E6037B" w:rsidRDefault="00C8637B" w:rsidP="002905BB">
            <w:r>
              <w:t>Poorly</w:t>
            </w:r>
            <w:r w:rsidR="00666054">
              <w:t>. The authors ensured that adjudicators were blinde</w:t>
            </w:r>
            <w:r w:rsidR="001D18BE">
              <w:t>d to D-dimer results in cases where imaging was equivocal, but radiologists and follow-up outcome assessors were not blinded to Wells' criteria or D-dimer results.</w:t>
            </w:r>
            <w:r>
              <w:t xml:space="preserve"> Patients lost to follow-up, representing around 20% of the patient population, were deemed not to have a PE.</w:t>
            </w:r>
          </w:p>
        </w:tc>
      </w:tr>
      <w:tr w:rsidR="00E6037B" w14:paraId="172F6BF6" w14:textId="77777777" w:rsidTr="00523930">
        <w:trPr>
          <w:jc w:val="center"/>
        </w:trPr>
        <w:tc>
          <w:tcPr>
            <w:tcW w:w="1008" w:type="dxa"/>
          </w:tcPr>
          <w:p w14:paraId="4FD1825C" w14:textId="77777777" w:rsidR="00E6037B" w:rsidRDefault="00E6037B" w:rsidP="002905BB">
            <w:r>
              <w:t>2</w:t>
            </w:r>
          </w:p>
        </w:tc>
        <w:tc>
          <w:tcPr>
            <w:tcW w:w="3564" w:type="dxa"/>
          </w:tcPr>
          <w:p w14:paraId="3382F17E" w14:textId="77777777" w:rsidR="00E6037B" w:rsidRDefault="00E6037B" w:rsidP="002905BB">
            <w:r>
              <w:t>What was the impact on clinician behavior and patient-important outcomes?</w:t>
            </w:r>
          </w:p>
        </w:tc>
        <w:tc>
          <w:tcPr>
            <w:tcW w:w="5256" w:type="dxa"/>
          </w:tcPr>
          <w:p w14:paraId="41774218" w14:textId="74B5EF39" w:rsidR="00E6037B" w:rsidRDefault="00C8637B" w:rsidP="00AD7429">
            <w:r>
              <w:t xml:space="preserve">An impact analysis was not specifically performed, but use of YEARS criteria and adjusted D-dimer would theoretically have </w:t>
            </w:r>
            <w:r w:rsidR="00AD7429">
              <w:t>spared 264 patients from imaging when compared to a Wells' score &lt; 6 and a D-dimer threshold of 500 mg/dL.</w:t>
            </w:r>
          </w:p>
        </w:tc>
      </w:tr>
    </w:tbl>
    <w:p w14:paraId="75F59FF6" w14:textId="7D9668CC" w:rsidR="00264B04" w:rsidRDefault="00264B04" w:rsidP="00E002FC">
      <w:pPr>
        <w:jc w:val="center"/>
        <w:rPr>
          <w:b/>
          <w:sz w:val="28"/>
          <w:szCs w:val="28"/>
        </w:rPr>
      </w:pPr>
    </w:p>
    <w:p w14:paraId="0E3F5346" w14:textId="1DF8721C" w:rsidR="002905BB" w:rsidRDefault="002905BB" w:rsidP="002957D2">
      <w:pPr>
        <w:spacing w:before="240" w:after="240"/>
        <w:jc w:val="both"/>
        <w:rPr>
          <w:b/>
          <w:sz w:val="28"/>
          <w:szCs w:val="28"/>
          <w:u w:val="single"/>
        </w:rPr>
      </w:pPr>
      <w:r w:rsidRPr="002905BB">
        <w:rPr>
          <w:b/>
          <w:sz w:val="28"/>
          <w:szCs w:val="28"/>
          <w:u w:val="single"/>
        </w:rPr>
        <w:t>Limitations:</w:t>
      </w:r>
    </w:p>
    <w:p w14:paraId="59CB34C6" w14:textId="6A703201" w:rsidR="00925870" w:rsidRDefault="00D36C30" w:rsidP="002957D2">
      <w:pPr>
        <w:pStyle w:val="ListParagraph"/>
        <w:numPr>
          <w:ilvl w:val="0"/>
          <w:numId w:val="2"/>
        </w:numPr>
        <w:spacing w:before="240" w:after="240"/>
        <w:contextualSpacing w:val="0"/>
        <w:jc w:val="both"/>
        <w:rPr>
          <w:b/>
          <w:sz w:val="28"/>
          <w:szCs w:val="28"/>
        </w:rPr>
      </w:pPr>
      <w:r w:rsidRPr="00D36C30">
        <w:rPr>
          <w:b/>
          <w:sz w:val="28"/>
          <w:szCs w:val="28"/>
        </w:rPr>
        <w:t xml:space="preserve">This study was </w:t>
      </w:r>
      <w:hyperlink r:id="rId13" w:history="1">
        <w:r w:rsidRPr="00D36C30">
          <w:rPr>
            <w:rStyle w:val="Hyperlink"/>
            <w:b/>
            <w:sz w:val="28"/>
            <w:szCs w:val="28"/>
          </w:rPr>
          <w:t>industry-</w:t>
        </w:r>
        <w:r w:rsidR="00925870" w:rsidRPr="00D36C30">
          <w:rPr>
            <w:rStyle w:val="Hyperlink"/>
            <w:b/>
            <w:sz w:val="28"/>
            <w:szCs w:val="28"/>
          </w:rPr>
          <w:t>funded</w:t>
        </w:r>
      </w:hyperlink>
      <w:r w:rsidRPr="00D36C30">
        <w:rPr>
          <w:b/>
          <w:sz w:val="28"/>
          <w:szCs w:val="28"/>
        </w:rPr>
        <w:t xml:space="preserve"> and hence at risk of outside influence.</w:t>
      </w:r>
    </w:p>
    <w:p w14:paraId="3DFC8E06" w14:textId="1CE15A98" w:rsidR="002957D2" w:rsidRPr="00D36C30" w:rsidRDefault="002957D2" w:rsidP="002957D2">
      <w:pPr>
        <w:pStyle w:val="ListParagraph"/>
        <w:numPr>
          <w:ilvl w:val="0"/>
          <w:numId w:val="2"/>
        </w:numPr>
        <w:spacing w:before="240" w:after="240"/>
        <w:contextualSpacing w:val="0"/>
        <w:jc w:val="both"/>
        <w:rPr>
          <w:b/>
          <w:sz w:val="28"/>
          <w:szCs w:val="28"/>
        </w:rPr>
      </w:pPr>
      <w:r>
        <w:rPr>
          <w:b/>
          <w:sz w:val="28"/>
          <w:szCs w:val="28"/>
        </w:rPr>
        <w:t>No information was provided for the study sites (size, location, academic affiliation).</w:t>
      </w:r>
    </w:p>
    <w:p w14:paraId="37467D55" w14:textId="5232B916" w:rsidR="00CB4CF9" w:rsidRDefault="00CB4CF9" w:rsidP="002957D2">
      <w:pPr>
        <w:pStyle w:val="ListParagraph"/>
        <w:numPr>
          <w:ilvl w:val="0"/>
          <w:numId w:val="2"/>
        </w:numPr>
        <w:spacing w:before="240" w:after="240"/>
        <w:contextualSpacing w:val="0"/>
        <w:jc w:val="both"/>
        <w:rPr>
          <w:b/>
          <w:sz w:val="28"/>
          <w:szCs w:val="28"/>
        </w:rPr>
      </w:pPr>
      <w:r w:rsidRPr="00D36C30">
        <w:rPr>
          <w:b/>
          <w:sz w:val="28"/>
          <w:szCs w:val="28"/>
        </w:rPr>
        <w:t>Because patients with a Wells' score &gt; 6 were excluded, the sensitivity and specificity calculations do not represent the full spectrum of disease (</w:t>
      </w:r>
      <w:hyperlink r:id="rId14" w:history="1">
        <w:r w:rsidRPr="00D36C30">
          <w:rPr>
            <w:rStyle w:val="Hyperlink"/>
            <w:b/>
            <w:sz w:val="28"/>
            <w:szCs w:val="28"/>
          </w:rPr>
          <w:t>spectrum bias</w:t>
        </w:r>
      </w:hyperlink>
      <w:r w:rsidRPr="00D36C30">
        <w:rPr>
          <w:b/>
          <w:sz w:val="28"/>
          <w:szCs w:val="28"/>
        </w:rPr>
        <w:t>).</w:t>
      </w:r>
    </w:p>
    <w:p w14:paraId="0936D6C3" w14:textId="1858F58A" w:rsidR="00CA4642" w:rsidRPr="00D36C30" w:rsidRDefault="00CA4642" w:rsidP="002957D2">
      <w:pPr>
        <w:pStyle w:val="ListParagraph"/>
        <w:numPr>
          <w:ilvl w:val="0"/>
          <w:numId w:val="2"/>
        </w:numPr>
        <w:spacing w:before="240" w:after="240"/>
        <w:contextualSpacing w:val="0"/>
        <w:jc w:val="both"/>
        <w:rPr>
          <w:b/>
          <w:sz w:val="28"/>
          <w:szCs w:val="28"/>
        </w:rPr>
      </w:pPr>
      <w:r>
        <w:rPr>
          <w:b/>
          <w:sz w:val="28"/>
          <w:szCs w:val="28"/>
        </w:rPr>
        <w:t xml:space="preserve">Not all patients underwent the gold standard test (CTPA or V/Q) and hence there is a risk of </w:t>
      </w:r>
      <w:hyperlink r:id="rId15" w:history="1">
        <w:r w:rsidRPr="00CA4642">
          <w:rPr>
            <w:rStyle w:val="Hyperlink"/>
            <w:b/>
            <w:sz w:val="28"/>
            <w:szCs w:val="28"/>
          </w:rPr>
          <w:t>partial verification bias</w:t>
        </w:r>
      </w:hyperlink>
      <w:r>
        <w:rPr>
          <w:b/>
          <w:sz w:val="28"/>
          <w:szCs w:val="28"/>
        </w:rPr>
        <w:t>.</w:t>
      </w:r>
    </w:p>
    <w:p w14:paraId="7CE2ECFB" w14:textId="5BB96B62" w:rsidR="00563D7B" w:rsidRPr="00D36C30" w:rsidRDefault="00874676" w:rsidP="002957D2">
      <w:pPr>
        <w:pStyle w:val="ListParagraph"/>
        <w:numPr>
          <w:ilvl w:val="0"/>
          <w:numId w:val="2"/>
        </w:numPr>
        <w:spacing w:before="240" w:after="240"/>
        <w:contextualSpacing w:val="0"/>
        <w:jc w:val="both"/>
        <w:rPr>
          <w:b/>
          <w:sz w:val="28"/>
          <w:szCs w:val="28"/>
        </w:rPr>
      </w:pPr>
      <w:r w:rsidRPr="00D36C30">
        <w:rPr>
          <w:b/>
          <w:sz w:val="28"/>
          <w:szCs w:val="28"/>
        </w:rPr>
        <w:t>Around 20% of p</w:t>
      </w:r>
      <w:r w:rsidR="00563D7B" w:rsidRPr="00D36C30">
        <w:rPr>
          <w:b/>
          <w:sz w:val="28"/>
          <w:szCs w:val="28"/>
        </w:rPr>
        <w:t xml:space="preserve">atients </w:t>
      </w:r>
      <w:r w:rsidRPr="00D36C30">
        <w:rPr>
          <w:b/>
          <w:sz w:val="28"/>
          <w:szCs w:val="28"/>
        </w:rPr>
        <w:t xml:space="preserve">were </w:t>
      </w:r>
      <w:r w:rsidR="00563D7B" w:rsidRPr="00D36C30">
        <w:rPr>
          <w:b/>
          <w:sz w:val="28"/>
          <w:szCs w:val="28"/>
        </w:rPr>
        <w:t xml:space="preserve">lost to follow-up </w:t>
      </w:r>
      <w:r w:rsidRPr="00D36C30">
        <w:rPr>
          <w:b/>
          <w:sz w:val="28"/>
          <w:szCs w:val="28"/>
        </w:rPr>
        <w:t xml:space="preserve">and </w:t>
      </w:r>
      <w:r w:rsidR="00563D7B" w:rsidRPr="00D36C30">
        <w:rPr>
          <w:b/>
          <w:sz w:val="28"/>
          <w:szCs w:val="28"/>
        </w:rPr>
        <w:t>were considered not to have a PE or DVT</w:t>
      </w:r>
      <w:r w:rsidRPr="00D36C30">
        <w:rPr>
          <w:b/>
          <w:sz w:val="28"/>
          <w:szCs w:val="28"/>
        </w:rPr>
        <w:t xml:space="preserve"> (</w:t>
      </w:r>
      <w:hyperlink r:id="rId16" w:history="1">
        <w:r w:rsidRPr="00D36C30">
          <w:rPr>
            <w:rStyle w:val="Hyperlink"/>
            <w:b/>
            <w:sz w:val="28"/>
            <w:szCs w:val="28"/>
          </w:rPr>
          <w:t>attrition bias</w:t>
        </w:r>
      </w:hyperlink>
      <w:r w:rsidRPr="00D36C30">
        <w:rPr>
          <w:b/>
          <w:sz w:val="28"/>
          <w:szCs w:val="28"/>
        </w:rPr>
        <w:t>).</w:t>
      </w:r>
    </w:p>
    <w:p w14:paraId="5F3E5F3B" w14:textId="25C0EF03" w:rsidR="002905BB" w:rsidRDefault="002905BB" w:rsidP="002957D2">
      <w:pPr>
        <w:spacing w:before="240" w:after="240"/>
        <w:jc w:val="both"/>
        <w:rPr>
          <w:b/>
          <w:sz w:val="28"/>
          <w:szCs w:val="28"/>
          <w:u w:val="single"/>
        </w:rPr>
      </w:pPr>
      <w:r w:rsidRPr="002905BB">
        <w:rPr>
          <w:b/>
          <w:sz w:val="28"/>
          <w:szCs w:val="28"/>
          <w:u w:val="single"/>
        </w:rPr>
        <w:t>Bottom Line:</w:t>
      </w:r>
    </w:p>
    <w:p w14:paraId="06E26BFA" w14:textId="560FF08A" w:rsidR="0010267E" w:rsidRPr="0010267E" w:rsidRDefault="0010267E" w:rsidP="002957D2">
      <w:pPr>
        <w:spacing w:before="240" w:after="240"/>
        <w:jc w:val="both"/>
        <w:rPr>
          <w:b/>
          <w:color w:val="000000" w:themeColor="text1"/>
          <w:sz w:val="28"/>
          <w:szCs w:val="28"/>
        </w:rPr>
      </w:pPr>
      <w:r w:rsidRPr="0010267E">
        <w:rPr>
          <w:b/>
          <w:color w:val="000000" w:themeColor="text1"/>
          <w:sz w:val="28"/>
          <w:szCs w:val="28"/>
        </w:rPr>
        <w:t xml:space="preserve">This prospective, observational, multicenter study of non-high risk adult patients being evaluated for a PE found that a YEARS algorithm with an adjusted D-dimer had a sensitivity of 92.9, </w:t>
      </w:r>
      <w:proofErr w:type="spellStart"/>
      <w:r w:rsidRPr="0010267E">
        <w:rPr>
          <w:b/>
          <w:color w:val="000000" w:themeColor="text1"/>
          <w:sz w:val="28"/>
          <w:szCs w:val="28"/>
        </w:rPr>
        <w:t>secificity</w:t>
      </w:r>
      <w:proofErr w:type="spellEnd"/>
      <w:r w:rsidRPr="0010267E">
        <w:rPr>
          <w:b/>
          <w:color w:val="000000" w:themeColor="text1"/>
          <w:sz w:val="28"/>
          <w:szCs w:val="28"/>
        </w:rPr>
        <w:t xml:space="preserve"> of 70.3, and a negative LR of 0.10 (95% CI 0.05-0.22)</w:t>
      </w:r>
      <w:r>
        <w:rPr>
          <w:b/>
          <w:color w:val="000000" w:themeColor="text1"/>
          <w:sz w:val="28"/>
          <w:szCs w:val="28"/>
        </w:rPr>
        <w:t xml:space="preserve"> and would have theoretically spared 264 patients from advanced imaging</w:t>
      </w:r>
      <w:r w:rsidRPr="0010267E">
        <w:rPr>
          <w:b/>
          <w:color w:val="000000" w:themeColor="text1"/>
          <w:sz w:val="28"/>
          <w:szCs w:val="28"/>
        </w:rPr>
        <w:t>.</w:t>
      </w:r>
      <w:r>
        <w:rPr>
          <w:b/>
          <w:color w:val="000000" w:themeColor="text1"/>
          <w:sz w:val="28"/>
          <w:szCs w:val="28"/>
        </w:rPr>
        <w:t xml:space="preserve"> The negative LR of a traditional D-dimer threshold of 500 mg/DL was significantly lower at 0.04 (95% CI 0.01 to 0.17).</w:t>
      </w:r>
      <w:r w:rsidR="00271564">
        <w:rPr>
          <w:b/>
          <w:color w:val="000000" w:themeColor="text1"/>
          <w:sz w:val="28"/>
          <w:szCs w:val="28"/>
        </w:rPr>
        <w:t xml:space="preserve"> This study was primarily limited by a 20% loss to follow-up.</w:t>
      </w:r>
    </w:p>
    <w:sectPr w:rsidR="0010267E" w:rsidRPr="0010267E" w:rsidSect="0002330C">
      <w:footnotePr>
        <w:numFmt w:val="chicago"/>
      </w:footnotePr>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1337"/>
    <w:multiLevelType w:val="hybridMultilevel"/>
    <w:tmpl w:val="CCB8279A"/>
    <w:lvl w:ilvl="0" w:tplc="F88227CA">
      <w:start w:val="1"/>
      <w:numFmt w:val="bullet"/>
      <w:lvlText w:val=""/>
      <w:lvlJc w:val="left"/>
      <w:pPr>
        <w:ind w:left="360" w:hanging="360"/>
      </w:pPr>
      <w:rPr>
        <w:rFonts w:ascii="Symbol" w:hAnsi="Symbol" w:hint="default"/>
        <w:color w:val="000000" w:themeColor="text1"/>
      </w:rPr>
    </w:lvl>
    <w:lvl w:ilvl="1" w:tplc="C8D648E6">
      <w:start w:val="1"/>
      <w:numFmt w:val="bullet"/>
      <w:lvlText w:val="o"/>
      <w:lvlJc w:val="left"/>
      <w:pPr>
        <w:ind w:left="1080" w:hanging="360"/>
      </w:pPr>
      <w:rPr>
        <w:rFonts w:ascii="Courier New" w:hAnsi="Courier New"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3A133E"/>
    <w:multiLevelType w:val="hybridMultilevel"/>
    <w:tmpl w:val="D6E22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8F"/>
    <w:rsid w:val="00004574"/>
    <w:rsid w:val="0002330C"/>
    <w:rsid w:val="000A47C0"/>
    <w:rsid w:val="000E6115"/>
    <w:rsid w:val="0010267E"/>
    <w:rsid w:val="001C046E"/>
    <w:rsid w:val="001D18BE"/>
    <w:rsid w:val="00264B04"/>
    <w:rsid w:val="00271564"/>
    <w:rsid w:val="002905BB"/>
    <w:rsid w:val="002957D2"/>
    <w:rsid w:val="003F021E"/>
    <w:rsid w:val="003F388F"/>
    <w:rsid w:val="0041380B"/>
    <w:rsid w:val="0041783D"/>
    <w:rsid w:val="00450BE2"/>
    <w:rsid w:val="004B6262"/>
    <w:rsid w:val="004E1E49"/>
    <w:rsid w:val="004E3C71"/>
    <w:rsid w:val="004E7ABE"/>
    <w:rsid w:val="00523930"/>
    <w:rsid w:val="00547753"/>
    <w:rsid w:val="00563D7B"/>
    <w:rsid w:val="005F5E96"/>
    <w:rsid w:val="006005EF"/>
    <w:rsid w:val="00617180"/>
    <w:rsid w:val="0064699B"/>
    <w:rsid w:val="00666054"/>
    <w:rsid w:val="00707D00"/>
    <w:rsid w:val="007916B9"/>
    <w:rsid w:val="007B1A43"/>
    <w:rsid w:val="007C1B95"/>
    <w:rsid w:val="007F74B5"/>
    <w:rsid w:val="008063DF"/>
    <w:rsid w:val="00874676"/>
    <w:rsid w:val="00892180"/>
    <w:rsid w:val="00925870"/>
    <w:rsid w:val="009D1BDF"/>
    <w:rsid w:val="00A04396"/>
    <w:rsid w:val="00AD6A99"/>
    <w:rsid w:val="00AD7429"/>
    <w:rsid w:val="00B17159"/>
    <w:rsid w:val="00B363B9"/>
    <w:rsid w:val="00C0717B"/>
    <w:rsid w:val="00C36402"/>
    <w:rsid w:val="00C8637B"/>
    <w:rsid w:val="00CA4642"/>
    <w:rsid w:val="00CB4CF9"/>
    <w:rsid w:val="00D025B5"/>
    <w:rsid w:val="00D36C30"/>
    <w:rsid w:val="00D6647F"/>
    <w:rsid w:val="00E002FC"/>
    <w:rsid w:val="00E6037B"/>
    <w:rsid w:val="00E73221"/>
    <w:rsid w:val="00FA688B"/>
    <w:rsid w:val="00FC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D9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0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2330C"/>
    <w:rPr>
      <w:sz w:val="20"/>
      <w:szCs w:val="20"/>
    </w:rPr>
  </w:style>
  <w:style w:type="character" w:styleId="FootnoteReference">
    <w:name w:val="footnote reference"/>
    <w:basedOn w:val="DefaultParagraphFont"/>
    <w:semiHidden/>
    <w:rsid w:val="0002330C"/>
    <w:rPr>
      <w:vertAlign w:val="superscript"/>
    </w:rPr>
  </w:style>
  <w:style w:type="character" w:styleId="Hyperlink">
    <w:name w:val="Hyperlink"/>
    <w:basedOn w:val="DefaultParagraphFont"/>
    <w:uiPriority w:val="99"/>
    <w:unhideWhenUsed/>
    <w:rsid w:val="00925870"/>
    <w:rPr>
      <w:color w:val="0563C1" w:themeColor="hyperlink"/>
      <w:u w:val="single"/>
    </w:rPr>
  </w:style>
  <w:style w:type="paragraph" w:styleId="ListParagraph">
    <w:name w:val="List Paragraph"/>
    <w:basedOn w:val="Normal"/>
    <w:uiPriority w:val="34"/>
    <w:qFormat/>
    <w:rsid w:val="00A043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0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2330C"/>
    <w:rPr>
      <w:sz w:val="20"/>
      <w:szCs w:val="20"/>
    </w:rPr>
  </w:style>
  <w:style w:type="character" w:styleId="FootnoteReference">
    <w:name w:val="footnote reference"/>
    <w:basedOn w:val="DefaultParagraphFont"/>
    <w:semiHidden/>
    <w:rsid w:val="0002330C"/>
    <w:rPr>
      <w:vertAlign w:val="superscript"/>
    </w:rPr>
  </w:style>
  <w:style w:type="character" w:styleId="Hyperlink">
    <w:name w:val="Hyperlink"/>
    <w:basedOn w:val="DefaultParagraphFont"/>
    <w:uiPriority w:val="99"/>
    <w:unhideWhenUsed/>
    <w:rsid w:val="00925870"/>
    <w:rPr>
      <w:color w:val="0563C1" w:themeColor="hyperlink"/>
      <w:u w:val="single"/>
    </w:rPr>
  </w:style>
  <w:style w:type="paragraph" w:styleId="ListParagraph">
    <w:name w:val="List Paragraph"/>
    <w:basedOn w:val="Normal"/>
    <w:uiPriority w:val="34"/>
    <w:qFormat/>
    <w:rsid w:val="00A0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maj.ca/content/173/4/385.full.pdf" TargetMode="External"/><Relationship Id="rId12" Type="http://schemas.openxmlformats.org/officeDocument/2006/relationships/hyperlink" Target="https://www.youtube.com/watch?v=qIFbU84IfmI" TargetMode="External"/><Relationship Id="rId13" Type="http://schemas.openxmlformats.org/officeDocument/2006/relationships/hyperlink" Target="http://informahealthcare.com/doi/pdf/10.1185/03007995.2011.628651" TargetMode="External"/><Relationship Id="rId14" Type="http://schemas.openxmlformats.org/officeDocument/2006/relationships/hyperlink" Target="http://www.cmaj.ca/content/173/4/385.full.pdf" TargetMode="External"/><Relationship Id="rId15" Type="http://schemas.openxmlformats.org/officeDocument/2006/relationships/hyperlink" Target="https://www.youtube.com/watch?v=qIFbU84IfmI" TargetMode="External"/><Relationship Id="rId16" Type="http://schemas.openxmlformats.org/officeDocument/2006/relationships/hyperlink" Target="http://www.students4bestevidence.net/attrition-bias-randomized-controlled-trial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mid.us/29603819" TargetMode="External"/><Relationship Id="rId7" Type="http://schemas.openxmlformats.org/officeDocument/2006/relationships/hyperlink" Target="http://pmid.us/29603819" TargetMode="External"/><Relationship Id="rId8" Type="http://schemas.openxmlformats.org/officeDocument/2006/relationships/hyperlink" Target="https://www.mdcalc.com/perc-rule-pulmonary-embolism" TargetMode="External"/><Relationship Id="rId9" Type="http://schemas.openxmlformats.org/officeDocument/2006/relationships/hyperlink" Target="https://www.mdcalc.com/wells-criteria-pulmonary-embolism" TargetMode="External"/><Relationship Id="rId10" Type="http://schemas.openxmlformats.org/officeDocument/2006/relationships/hyperlink" Target="https://www.analyticsvidhya.com/blog/2016/06/bayesian-statistics-beginners-simple-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1410</Words>
  <Characters>8037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Guide</vt:lpstr>
    </vt:vector>
  </TitlesOfParts>
  <Company>WUMS</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c:title>
  <dc:subject/>
  <dc:creator>carpentc</dc:creator>
  <cp:keywords/>
  <dc:description/>
  <cp:lastModifiedBy>Brian Cohn</cp:lastModifiedBy>
  <cp:revision>42</cp:revision>
  <cp:lastPrinted>2004-07-26T17:57:00Z</cp:lastPrinted>
  <dcterms:created xsi:type="dcterms:W3CDTF">2020-03-13T23:05:00Z</dcterms:created>
  <dcterms:modified xsi:type="dcterms:W3CDTF">2022-03-01T02:09:00Z</dcterms:modified>
</cp:coreProperties>
</file>